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9449" w14:textId="29552ED6" w:rsidR="000B1CF7" w:rsidRPr="00055016" w:rsidRDefault="00A6718D" w:rsidP="00055016">
      <w:pPr>
        <w:autoSpaceDE w:val="0"/>
        <w:autoSpaceDN w:val="0"/>
        <w:adjustRightInd w:val="0"/>
        <w:spacing w:line="276" w:lineRule="auto"/>
        <w:jc w:val="both"/>
        <w:rPr>
          <w:rFonts w:cstheme="majorHAnsi"/>
          <w:color w:val="FF0000"/>
          <w:sz w:val="22"/>
          <w:szCs w:val="22"/>
        </w:rPr>
      </w:pPr>
      <w:r>
        <w:rPr>
          <w:rFonts w:cstheme="majorHAnsi"/>
          <w:color w:val="FF0000"/>
          <w:sz w:val="22"/>
          <w:szCs w:val="22"/>
        </w:rPr>
        <w:pict w14:anchorId="17886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5.25pt;height:24pt" fillcolor="#0070c0">
            <v:stroke r:id="rId9" o:title=""/>
            <v:shadow color="#868686"/>
            <v:textpath style="font-family:&quot;Arial Black&quot;;v-text-kern:t" trim="t" fitpath="t" string="Add Logo"/>
          </v:shape>
        </w:pict>
      </w:r>
    </w:p>
    <w:p w14:paraId="1A718002" w14:textId="520BFC4E" w:rsidR="00373038" w:rsidRPr="00904A32" w:rsidRDefault="008926AA" w:rsidP="009D58A1">
      <w:pPr>
        <w:autoSpaceDE w:val="0"/>
        <w:autoSpaceDN w:val="0"/>
        <w:adjustRightInd w:val="0"/>
        <w:spacing w:line="276" w:lineRule="auto"/>
        <w:ind w:left="5040"/>
        <w:rPr>
          <w:rFonts w:cstheme="majorHAnsi"/>
          <w:sz w:val="28"/>
          <w:szCs w:val="22"/>
          <w:lang w:val="fr-CA"/>
        </w:rPr>
      </w:pPr>
      <w:r w:rsidRPr="00904A32">
        <w:rPr>
          <w:rFonts w:cstheme="majorHAnsi"/>
          <w:b/>
          <w:color w:val="0070C0"/>
          <w:sz w:val="28"/>
          <w:szCs w:val="22"/>
          <w:lang w:val="fr-CA"/>
        </w:rPr>
        <w:t>Politique et procédures d'enquête</w:t>
      </w:r>
    </w:p>
    <w:p w14:paraId="7E633467" w14:textId="0F488CA5" w:rsidR="000B1CF7" w:rsidRPr="00904A32" w:rsidRDefault="000B1CF7" w:rsidP="00373038">
      <w:pPr>
        <w:autoSpaceDE w:val="0"/>
        <w:autoSpaceDN w:val="0"/>
        <w:adjustRightInd w:val="0"/>
        <w:spacing w:line="276" w:lineRule="auto"/>
        <w:ind w:left="5040"/>
        <w:jc w:val="both"/>
        <w:rPr>
          <w:rFonts w:cstheme="majorHAnsi"/>
          <w:color w:val="0070C0"/>
          <w:sz w:val="22"/>
          <w:szCs w:val="22"/>
          <w:lang w:val="fr-CA"/>
        </w:rPr>
      </w:pPr>
      <w:r w:rsidRPr="00904A32">
        <w:rPr>
          <w:rFonts w:cstheme="majorHAnsi"/>
          <w:sz w:val="22"/>
          <w:szCs w:val="22"/>
          <w:lang w:val="fr-CA"/>
        </w:rPr>
        <w:t>Approuvées le</w:t>
      </w:r>
      <w:r w:rsidRPr="00904A32">
        <w:rPr>
          <w:rFonts w:cstheme="majorHAnsi"/>
          <w:color w:val="0070C0"/>
          <w:sz w:val="22"/>
          <w:szCs w:val="22"/>
          <w:lang w:val="fr-CA"/>
        </w:rPr>
        <w:t xml:space="preserve"> Date</w:t>
      </w:r>
    </w:p>
    <w:p w14:paraId="3EDE3C78" w14:textId="1BA7895A" w:rsidR="000B1CF7" w:rsidRPr="00904A32" w:rsidRDefault="00373038" w:rsidP="00373038">
      <w:pPr>
        <w:autoSpaceDE w:val="0"/>
        <w:autoSpaceDN w:val="0"/>
        <w:adjustRightInd w:val="0"/>
        <w:spacing w:line="276" w:lineRule="auto"/>
        <w:ind w:left="5040"/>
        <w:jc w:val="both"/>
        <w:rPr>
          <w:rFonts w:cstheme="majorHAnsi"/>
          <w:color w:val="0070C0"/>
          <w:sz w:val="22"/>
          <w:szCs w:val="22"/>
          <w:lang w:val="fr-CA"/>
        </w:rPr>
      </w:pPr>
      <w:r w:rsidRPr="00904A32">
        <w:rPr>
          <w:rFonts w:cstheme="majorHAnsi"/>
          <w:sz w:val="22"/>
          <w:szCs w:val="22"/>
          <w:lang w:val="fr-CA"/>
        </w:rPr>
        <w:t xml:space="preserve">Mises à jour le </w:t>
      </w:r>
      <w:r w:rsidRPr="00904A32">
        <w:rPr>
          <w:rFonts w:cstheme="majorHAnsi"/>
          <w:color w:val="0070C0"/>
          <w:sz w:val="22"/>
          <w:szCs w:val="22"/>
          <w:lang w:val="fr-CA"/>
        </w:rPr>
        <w:t>Date</w:t>
      </w:r>
    </w:p>
    <w:p w14:paraId="2ACE9FD6" w14:textId="6E3958B2" w:rsidR="00757E4B" w:rsidRPr="00904A32" w:rsidRDefault="00757E4B" w:rsidP="00757E4B">
      <w:pPr>
        <w:spacing w:line="276" w:lineRule="auto"/>
        <w:jc w:val="both"/>
        <w:rPr>
          <w:rFonts w:cstheme="majorHAnsi"/>
          <w:b/>
          <w:szCs w:val="22"/>
          <w:lang w:val="fr-CA"/>
        </w:rPr>
      </w:pPr>
      <w:r w:rsidRPr="00904A32">
        <w:rPr>
          <w:rFonts w:cstheme="majorHAnsi"/>
          <w:b/>
          <w:szCs w:val="22"/>
          <w:lang w:val="fr-CA"/>
        </w:rPr>
        <w:t>Politique :</w:t>
      </w:r>
    </w:p>
    <w:p w14:paraId="53D6B061" w14:textId="77777777" w:rsidR="00757E4B" w:rsidRPr="00904A32" w:rsidRDefault="00757E4B" w:rsidP="00757E4B">
      <w:pPr>
        <w:spacing w:line="276" w:lineRule="auto"/>
        <w:jc w:val="both"/>
        <w:rPr>
          <w:rFonts w:cstheme="majorHAnsi"/>
          <w:sz w:val="22"/>
          <w:szCs w:val="22"/>
          <w:lang w:val="fr-CA"/>
        </w:rPr>
      </w:pPr>
    </w:p>
    <w:p w14:paraId="4A6E4AAE" w14:textId="672A1864" w:rsidR="00757E4B" w:rsidRPr="00904A32" w:rsidRDefault="00B24D41" w:rsidP="00757E4B">
      <w:pPr>
        <w:spacing w:line="276" w:lineRule="auto"/>
        <w:jc w:val="both"/>
        <w:rPr>
          <w:rFonts w:cstheme="majorHAnsi"/>
          <w:sz w:val="22"/>
          <w:szCs w:val="22"/>
          <w:lang w:val="fr-CA"/>
        </w:rPr>
      </w:pPr>
      <w:r w:rsidRPr="00904A32">
        <w:rPr>
          <w:rFonts w:cstheme="majorHAnsi"/>
          <w:color w:val="0070C0"/>
          <w:sz w:val="22"/>
          <w:szCs w:val="22"/>
          <w:lang w:val="fr-CA"/>
        </w:rPr>
        <w:t>[PSE]</w:t>
      </w:r>
      <w:r w:rsidRPr="00904A32">
        <w:rPr>
          <w:rFonts w:cstheme="majorHAnsi"/>
          <w:sz w:val="22"/>
          <w:szCs w:val="22"/>
          <w:lang w:val="fr-CA"/>
        </w:rPr>
        <w:t xml:space="preserve"> prendra certaines mesures préliminaires avant de s'entretenir avec les parties et les témoins dans le cadre d'une enquête sur une plainte. Parmi ces étapes</w:t>
      </w:r>
      <w:r w:rsidR="001C3EC3" w:rsidRPr="00904A32">
        <w:rPr>
          <w:rFonts w:cstheme="majorHAnsi"/>
          <w:sz w:val="22"/>
          <w:szCs w:val="22"/>
          <w:lang w:val="fr-CA"/>
        </w:rPr>
        <w:t>,</w:t>
      </w:r>
      <w:r w:rsidR="00904A32">
        <w:rPr>
          <w:rFonts w:cstheme="majorHAnsi"/>
          <w:sz w:val="22"/>
          <w:szCs w:val="22"/>
          <w:lang w:val="fr-CA"/>
        </w:rPr>
        <w:t xml:space="preserve"> on compte</w:t>
      </w:r>
      <w:r w:rsidRPr="00904A32">
        <w:rPr>
          <w:rFonts w:cstheme="majorHAnsi"/>
          <w:sz w:val="22"/>
          <w:szCs w:val="22"/>
          <w:lang w:val="fr-CA"/>
        </w:rPr>
        <w:t xml:space="preserve"> nommer un enquêteur, délimit</w:t>
      </w:r>
      <w:r w:rsidR="00BC6622" w:rsidRPr="00904A32">
        <w:rPr>
          <w:rFonts w:cstheme="majorHAnsi"/>
          <w:sz w:val="22"/>
          <w:szCs w:val="22"/>
          <w:lang w:val="fr-CA"/>
        </w:rPr>
        <w:t>er</w:t>
      </w:r>
      <w:r w:rsidRPr="00904A32">
        <w:rPr>
          <w:rFonts w:cstheme="majorHAnsi"/>
          <w:sz w:val="22"/>
          <w:szCs w:val="22"/>
          <w:lang w:val="fr-CA"/>
        </w:rPr>
        <w:t xml:space="preserve"> le champ d'applica</w:t>
      </w:r>
      <w:r w:rsidR="00BC6622" w:rsidRPr="00904A32">
        <w:rPr>
          <w:rFonts w:cstheme="majorHAnsi"/>
          <w:sz w:val="22"/>
          <w:szCs w:val="22"/>
          <w:lang w:val="fr-CA"/>
        </w:rPr>
        <w:t>tion de l'enquête et décider de</w:t>
      </w:r>
      <w:r w:rsidRPr="00904A32">
        <w:rPr>
          <w:rFonts w:cstheme="majorHAnsi"/>
          <w:sz w:val="22"/>
          <w:szCs w:val="22"/>
          <w:lang w:val="fr-CA"/>
        </w:rPr>
        <w:t xml:space="preserve"> certaines questions de logistique en ce qui concerne les entrevues avec les témoins. </w:t>
      </w:r>
    </w:p>
    <w:p w14:paraId="5352EF1E" w14:textId="77777777" w:rsidR="00757E4B" w:rsidRPr="00904A32" w:rsidRDefault="00757E4B" w:rsidP="00757E4B">
      <w:pPr>
        <w:spacing w:line="276" w:lineRule="auto"/>
        <w:jc w:val="both"/>
        <w:rPr>
          <w:rFonts w:cstheme="majorHAnsi"/>
          <w:sz w:val="22"/>
          <w:szCs w:val="22"/>
          <w:lang w:val="fr-CA"/>
        </w:rPr>
      </w:pPr>
      <w:bookmarkStart w:id="0" w:name="_GoBack"/>
      <w:bookmarkEnd w:id="0"/>
    </w:p>
    <w:p w14:paraId="2A49B9CB" w14:textId="34F38004" w:rsidR="00757E4B" w:rsidRPr="00757E4B" w:rsidRDefault="00757E4B" w:rsidP="00757E4B">
      <w:pPr>
        <w:spacing w:line="276" w:lineRule="auto"/>
        <w:jc w:val="both"/>
        <w:rPr>
          <w:rFonts w:cstheme="majorHAnsi"/>
          <w:b/>
          <w:szCs w:val="22"/>
        </w:rPr>
      </w:pPr>
      <w:proofErr w:type="spellStart"/>
      <w:proofErr w:type="gramStart"/>
      <w:r w:rsidRPr="00757E4B">
        <w:rPr>
          <w:rFonts w:cstheme="majorHAnsi"/>
          <w:b/>
          <w:szCs w:val="22"/>
        </w:rPr>
        <w:t>Procédures</w:t>
      </w:r>
      <w:proofErr w:type="spellEnd"/>
      <w:r w:rsidRPr="00757E4B">
        <w:rPr>
          <w:rFonts w:cstheme="majorHAnsi"/>
          <w:b/>
          <w:szCs w:val="22"/>
        </w:rPr>
        <w:t> :</w:t>
      </w:r>
      <w:proofErr w:type="gramEnd"/>
    </w:p>
    <w:p w14:paraId="70E5A4E3" w14:textId="77777777" w:rsidR="00757E4B" w:rsidRDefault="00757E4B" w:rsidP="00757E4B">
      <w:pPr>
        <w:spacing w:line="276" w:lineRule="auto"/>
        <w:jc w:val="both"/>
        <w:rPr>
          <w:rFonts w:cstheme="majorHAnsi"/>
          <w:b/>
          <w:i/>
          <w:sz w:val="22"/>
          <w:szCs w:val="22"/>
          <w:u w:val="single"/>
        </w:rPr>
      </w:pPr>
    </w:p>
    <w:p w14:paraId="519F0426" w14:textId="5C6F0809" w:rsidR="00254642" w:rsidRPr="00254642" w:rsidRDefault="00254642" w:rsidP="00757E4B">
      <w:pPr>
        <w:spacing w:line="276" w:lineRule="auto"/>
        <w:jc w:val="both"/>
        <w:rPr>
          <w:rFonts w:cstheme="majorHAnsi"/>
          <w:b/>
          <w:sz w:val="22"/>
          <w:szCs w:val="22"/>
        </w:rPr>
      </w:pPr>
      <w:proofErr w:type="spellStart"/>
      <w:r>
        <w:rPr>
          <w:rFonts w:cstheme="majorHAnsi"/>
          <w:b/>
          <w:sz w:val="22"/>
          <w:szCs w:val="22"/>
        </w:rPr>
        <w:t>Choisir</w:t>
      </w:r>
      <w:proofErr w:type="spellEnd"/>
      <w:r>
        <w:rPr>
          <w:rFonts w:cstheme="majorHAnsi"/>
          <w:b/>
          <w:sz w:val="22"/>
          <w:szCs w:val="22"/>
        </w:rPr>
        <w:t xml:space="preserve"> </w:t>
      </w:r>
      <w:proofErr w:type="gramStart"/>
      <w:r>
        <w:rPr>
          <w:rFonts w:cstheme="majorHAnsi"/>
          <w:b/>
          <w:sz w:val="22"/>
          <w:szCs w:val="22"/>
        </w:rPr>
        <w:t>un</w:t>
      </w:r>
      <w:proofErr w:type="gramEnd"/>
      <w:r>
        <w:rPr>
          <w:rFonts w:cstheme="majorHAnsi"/>
          <w:b/>
          <w:sz w:val="22"/>
          <w:szCs w:val="22"/>
        </w:rPr>
        <w:t xml:space="preserve"> </w:t>
      </w:r>
      <w:proofErr w:type="spellStart"/>
      <w:r>
        <w:rPr>
          <w:rFonts w:cstheme="majorHAnsi"/>
          <w:b/>
          <w:sz w:val="22"/>
          <w:szCs w:val="22"/>
        </w:rPr>
        <w:t>enquêteur</w:t>
      </w:r>
      <w:proofErr w:type="spellEnd"/>
    </w:p>
    <w:p w14:paraId="13332803" w14:textId="1EECDDA5" w:rsidR="00254642" w:rsidRPr="00904A32" w:rsidRDefault="00254642" w:rsidP="00254642">
      <w:pPr>
        <w:pStyle w:val="TMGenL1"/>
        <w:rPr>
          <w:rFonts w:cstheme="majorHAnsi"/>
          <w:sz w:val="22"/>
          <w:szCs w:val="22"/>
          <w:lang w:val="fr-CA"/>
        </w:rPr>
      </w:pPr>
      <w:r w:rsidRPr="00904A32">
        <w:rPr>
          <w:rFonts w:cstheme="majorHAnsi"/>
          <w:sz w:val="22"/>
          <w:szCs w:val="22"/>
          <w:lang w:val="fr-CA"/>
        </w:rPr>
        <w:t>Si une enquête officielle à propos d'une plainte doit être effectuée,</w:t>
      </w:r>
      <w:r w:rsidRPr="00904A32">
        <w:rPr>
          <w:rFonts w:cstheme="majorHAnsi"/>
          <w:color w:val="0070C0"/>
          <w:sz w:val="22"/>
          <w:szCs w:val="22"/>
          <w:lang w:val="fr-CA"/>
        </w:rPr>
        <w:t xml:space="preserve"> [PSE]</w:t>
      </w:r>
      <w:r w:rsidRPr="00904A32">
        <w:rPr>
          <w:rFonts w:cstheme="majorHAnsi"/>
          <w:sz w:val="22"/>
          <w:szCs w:val="22"/>
          <w:lang w:val="fr-CA"/>
        </w:rPr>
        <w:t xml:space="preserve"> désignera un enquêteur.</w:t>
      </w:r>
      <w:r w:rsidR="00BC6622" w:rsidRPr="00904A32">
        <w:rPr>
          <w:rFonts w:cstheme="majorHAnsi"/>
          <w:sz w:val="22"/>
          <w:szCs w:val="22"/>
          <w:lang w:val="fr-CA"/>
        </w:rPr>
        <w:t xml:space="preserve"> </w:t>
      </w:r>
      <w:r w:rsidRPr="00904A32">
        <w:rPr>
          <w:rFonts w:cstheme="majorHAnsi"/>
          <w:sz w:val="22"/>
          <w:szCs w:val="22"/>
          <w:lang w:val="fr-CA"/>
        </w:rPr>
        <w:t>L'enquêteur pourrait être une personne appartenant à l'organisation (le directeur général, un cadre supérieur) ou une personne e</w:t>
      </w:r>
      <w:r w:rsidR="00BC6622" w:rsidRPr="00904A32">
        <w:rPr>
          <w:rFonts w:cstheme="majorHAnsi"/>
          <w:sz w:val="22"/>
          <w:szCs w:val="22"/>
          <w:lang w:val="fr-CA"/>
        </w:rPr>
        <w:t>xterne qui est formée à la cond</w:t>
      </w:r>
      <w:r w:rsidRPr="00904A32">
        <w:rPr>
          <w:rFonts w:cstheme="majorHAnsi"/>
          <w:sz w:val="22"/>
          <w:szCs w:val="22"/>
          <w:lang w:val="fr-CA"/>
        </w:rPr>
        <w:t xml:space="preserve">uite d'enquêtes (un avocat ou un consultant).   </w:t>
      </w:r>
    </w:p>
    <w:p w14:paraId="24D855D6" w14:textId="4215EEB4" w:rsidR="00254642" w:rsidRPr="00904A32" w:rsidRDefault="00254642" w:rsidP="00254642">
      <w:pPr>
        <w:pStyle w:val="TMGenL1"/>
        <w:rPr>
          <w:rFonts w:cstheme="majorHAnsi"/>
          <w:sz w:val="22"/>
          <w:szCs w:val="22"/>
          <w:lang w:val="fr-CA"/>
        </w:rPr>
      </w:pPr>
      <w:r w:rsidRPr="00904A32">
        <w:rPr>
          <w:rFonts w:cstheme="majorHAnsi"/>
          <w:sz w:val="22"/>
          <w:szCs w:val="22"/>
          <w:lang w:val="fr-CA"/>
        </w:rPr>
        <w:t>La personne sélectionnée pour mener l'enquête sera impartiale et objective (p. ex. quelqu'un qui n'est</w:t>
      </w:r>
      <w:r w:rsidR="00BC6622" w:rsidRPr="00904A32">
        <w:rPr>
          <w:rFonts w:cstheme="majorHAnsi"/>
          <w:sz w:val="22"/>
          <w:szCs w:val="22"/>
          <w:lang w:val="fr-CA"/>
        </w:rPr>
        <w:t xml:space="preserve"> pas impliqué dans l'incident</w:t>
      </w:r>
      <w:r w:rsidRPr="00904A32">
        <w:rPr>
          <w:rFonts w:cstheme="majorHAnsi"/>
          <w:sz w:val="22"/>
          <w:szCs w:val="22"/>
          <w:lang w:val="fr-CA"/>
        </w:rPr>
        <w:t xml:space="preserve"> et pour qui le résultat ne présente aucun intérêt), aura les compétences et l'expérience nécessaire</w:t>
      </w:r>
      <w:r w:rsidR="001C3EC3" w:rsidRPr="00904A32">
        <w:rPr>
          <w:rFonts w:cstheme="majorHAnsi"/>
          <w:sz w:val="22"/>
          <w:szCs w:val="22"/>
          <w:lang w:val="fr-CA"/>
        </w:rPr>
        <w:t>s</w:t>
      </w:r>
      <w:r w:rsidRPr="00904A32">
        <w:rPr>
          <w:rFonts w:cstheme="majorHAnsi"/>
          <w:sz w:val="22"/>
          <w:szCs w:val="22"/>
          <w:lang w:val="fr-CA"/>
        </w:rPr>
        <w:t xml:space="preserve"> à la </w:t>
      </w:r>
      <w:r w:rsidR="00BC6622" w:rsidRPr="00904A32">
        <w:rPr>
          <w:rFonts w:cstheme="majorHAnsi"/>
          <w:sz w:val="22"/>
          <w:szCs w:val="22"/>
          <w:lang w:val="fr-CA"/>
        </w:rPr>
        <w:t>réalisation</w:t>
      </w:r>
      <w:r w:rsidRPr="00904A32">
        <w:rPr>
          <w:rFonts w:cstheme="majorHAnsi"/>
          <w:sz w:val="22"/>
          <w:szCs w:val="22"/>
          <w:lang w:val="fr-CA"/>
        </w:rPr>
        <w:t xml:space="preserve"> d'une enquête et la capacité de mener </w:t>
      </w:r>
      <w:r w:rsidR="00BC6622" w:rsidRPr="00904A32">
        <w:rPr>
          <w:rFonts w:cstheme="majorHAnsi"/>
          <w:sz w:val="22"/>
          <w:szCs w:val="22"/>
          <w:lang w:val="fr-CA"/>
        </w:rPr>
        <w:t>cette dernière</w:t>
      </w:r>
      <w:r w:rsidRPr="00904A32">
        <w:rPr>
          <w:rFonts w:cstheme="majorHAnsi"/>
          <w:sz w:val="22"/>
          <w:szCs w:val="22"/>
          <w:lang w:val="fr-CA"/>
        </w:rPr>
        <w:t xml:space="preserve"> rapidement.</w:t>
      </w:r>
    </w:p>
    <w:p w14:paraId="078211F7" w14:textId="2D7CE715" w:rsidR="00254642" w:rsidRPr="00904A32" w:rsidRDefault="00254642" w:rsidP="00254642">
      <w:pPr>
        <w:pStyle w:val="TMGenL1"/>
        <w:rPr>
          <w:rFonts w:cstheme="majorHAnsi"/>
          <w:sz w:val="22"/>
          <w:szCs w:val="22"/>
          <w:lang w:val="fr-CA"/>
        </w:rPr>
      </w:pPr>
      <w:r w:rsidRPr="00904A32">
        <w:rPr>
          <w:rFonts w:cstheme="majorHAnsi"/>
          <w:sz w:val="22"/>
          <w:szCs w:val="22"/>
          <w:lang w:val="fr-CA"/>
        </w:rPr>
        <w:t xml:space="preserve">Au moment de choisir l'enquêteur, </w:t>
      </w:r>
      <w:r w:rsidR="00EB59AF" w:rsidRPr="00904A32">
        <w:rPr>
          <w:rFonts w:cstheme="majorHAnsi"/>
          <w:color w:val="0070C0"/>
          <w:sz w:val="22"/>
          <w:szCs w:val="22"/>
          <w:lang w:val="fr-CA"/>
        </w:rPr>
        <w:t>[PSE]</w:t>
      </w:r>
      <w:r w:rsidR="00EB59AF" w:rsidRPr="00904A32">
        <w:rPr>
          <w:rFonts w:cstheme="majorHAnsi"/>
          <w:sz w:val="22"/>
          <w:szCs w:val="22"/>
          <w:lang w:val="fr-CA"/>
        </w:rPr>
        <w:t xml:space="preserve"> prendra notamment, mais sans s'y limiter, les facteurs suivants en considération</w:t>
      </w:r>
      <w:r w:rsidR="00B718D0" w:rsidRPr="00904A32">
        <w:rPr>
          <w:rFonts w:cstheme="majorHAnsi"/>
          <w:sz w:val="22"/>
          <w:szCs w:val="22"/>
          <w:lang w:val="fr-CA"/>
        </w:rPr>
        <w:t> </w:t>
      </w:r>
      <w:r w:rsidR="00EB59AF" w:rsidRPr="00904A32">
        <w:rPr>
          <w:rFonts w:cstheme="majorHAnsi"/>
          <w:sz w:val="22"/>
          <w:szCs w:val="22"/>
          <w:lang w:val="fr-CA"/>
        </w:rPr>
        <w:t xml:space="preserve">: l'expérience de la personne dans le domaine des établissements de soins, </w:t>
      </w:r>
      <w:r w:rsidR="00BC6622" w:rsidRPr="00904A32">
        <w:rPr>
          <w:rFonts w:cstheme="majorHAnsi"/>
          <w:sz w:val="22"/>
          <w:szCs w:val="22"/>
          <w:lang w:val="fr-CA"/>
        </w:rPr>
        <w:t>se</w:t>
      </w:r>
      <w:r w:rsidR="00EB59AF" w:rsidRPr="00904A32">
        <w:rPr>
          <w:rFonts w:cstheme="majorHAnsi"/>
          <w:sz w:val="22"/>
          <w:szCs w:val="22"/>
          <w:lang w:val="fr-CA"/>
        </w:rPr>
        <w:t xml:space="preserve">s connaissances de la législation et des normes, </w:t>
      </w:r>
      <w:r w:rsidR="00BC6622" w:rsidRPr="00904A32">
        <w:rPr>
          <w:rFonts w:cstheme="majorHAnsi"/>
          <w:sz w:val="22"/>
          <w:szCs w:val="22"/>
          <w:lang w:val="fr-CA"/>
        </w:rPr>
        <w:t>s</w:t>
      </w:r>
      <w:r w:rsidR="00EB59AF" w:rsidRPr="00904A32">
        <w:rPr>
          <w:rFonts w:cstheme="majorHAnsi"/>
          <w:sz w:val="22"/>
          <w:szCs w:val="22"/>
          <w:lang w:val="fr-CA"/>
        </w:rPr>
        <w:t xml:space="preserve">es qualifications </w:t>
      </w:r>
      <w:r w:rsidR="00BC6622" w:rsidRPr="00904A32">
        <w:rPr>
          <w:rFonts w:cstheme="majorHAnsi"/>
          <w:sz w:val="22"/>
          <w:szCs w:val="22"/>
          <w:lang w:val="fr-CA"/>
        </w:rPr>
        <w:t>ou</w:t>
      </w:r>
      <w:r w:rsidR="00EB59AF" w:rsidRPr="00904A32">
        <w:rPr>
          <w:rFonts w:cstheme="majorHAnsi"/>
          <w:sz w:val="22"/>
          <w:szCs w:val="22"/>
          <w:lang w:val="fr-CA"/>
        </w:rPr>
        <w:t xml:space="preserve"> caractéristiques particulières (comme le genre ou la race) de manière à ce qu'il puisse mieux communiquer ou créer des liens avec des enfants d'origines différentes ou ayant des besoins complexes.</w:t>
      </w:r>
    </w:p>
    <w:p w14:paraId="11B6BD16" w14:textId="77777777" w:rsidR="001C3EC3" w:rsidRPr="00904A32" w:rsidRDefault="001C3EC3" w:rsidP="00B718D0">
      <w:pPr>
        <w:pStyle w:val="TMGenL1"/>
        <w:numPr>
          <w:ilvl w:val="0"/>
          <w:numId w:val="0"/>
        </w:numPr>
        <w:ind w:left="720"/>
        <w:rPr>
          <w:b/>
          <w:sz w:val="22"/>
          <w:lang w:val="fr-CA"/>
        </w:rPr>
      </w:pPr>
      <w:r w:rsidRPr="00904A32">
        <w:rPr>
          <w:b/>
          <w:sz w:val="22"/>
          <w:lang w:val="fr-CA"/>
        </w:rPr>
        <w:t>D</w:t>
      </w:r>
      <w:r w:rsidR="00270F15" w:rsidRPr="00904A32">
        <w:rPr>
          <w:b/>
          <w:sz w:val="22"/>
          <w:lang w:val="fr-CA"/>
        </w:rPr>
        <w:t>éterminer le champ d'application de l'enquête</w:t>
      </w:r>
    </w:p>
    <w:p w14:paraId="698DB45A" w14:textId="69DC29E8" w:rsidR="00270F15" w:rsidRPr="00904A32" w:rsidRDefault="00270F15" w:rsidP="00270F15">
      <w:pPr>
        <w:pStyle w:val="TMGenL1"/>
        <w:rPr>
          <w:rFonts w:cstheme="majorHAnsi"/>
          <w:sz w:val="22"/>
          <w:szCs w:val="22"/>
          <w:lang w:val="fr-CA"/>
        </w:rPr>
      </w:pPr>
      <w:r w:rsidRPr="00904A32">
        <w:rPr>
          <w:rFonts w:cstheme="majorHAnsi"/>
          <w:sz w:val="22"/>
          <w:szCs w:val="22"/>
          <w:lang w:val="fr-CA"/>
        </w:rPr>
        <w:t>L'enquêteur et</w:t>
      </w:r>
      <w:r w:rsidRPr="00904A32">
        <w:rPr>
          <w:rFonts w:cstheme="majorHAnsi"/>
          <w:color w:val="0070C0"/>
          <w:sz w:val="22"/>
          <w:szCs w:val="22"/>
          <w:lang w:val="fr-CA"/>
        </w:rPr>
        <w:t xml:space="preserve"> [PSE]</w:t>
      </w:r>
      <w:r w:rsidRPr="00904A32">
        <w:rPr>
          <w:rFonts w:cstheme="majorHAnsi"/>
          <w:sz w:val="22"/>
          <w:szCs w:val="22"/>
          <w:lang w:val="fr-CA"/>
        </w:rPr>
        <w:t xml:space="preserve"> d</w:t>
      </w:r>
      <w:r w:rsidR="00BC6622" w:rsidRPr="00904A32">
        <w:rPr>
          <w:rFonts w:cstheme="majorHAnsi"/>
          <w:sz w:val="22"/>
          <w:szCs w:val="22"/>
          <w:lang w:val="fr-CA"/>
        </w:rPr>
        <w:t>é</w:t>
      </w:r>
      <w:r w:rsidRPr="00904A32">
        <w:rPr>
          <w:rFonts w:cstheme="majorHAnsi"/>
          <w:sz w:val="22"/>
          <w:szCs w:val="22"/>
          <w:lang w:val="fr-CA"/>
        </w:rPr>
        <w:t>limiteron</w:t>
      </w:r>
      <w:r w:rsidR="001C3EC3" w:rsidRPr="00904A32">
        <w:rPr>
          <w:rFonts w:cstheme="majorHAnsi"/>
          <w:sz w:val="22"/>
          <w:szCs w:val="22"/>
          <w:lang w:val="fr-CA"/>
        </w:rPr>
        <w:t>t</w:t>
      </w:r>
      <w:r w:rsidRPr="00904A32">
        <w:rPr>
          <w:rFonts w:cstheme="majorHAnsi"/>
          <w:sz w:val="22"/>
          <w:szCs w:val="22"/>
          <w:lang w:val="fr-CA"/>
        </w:rPr>
        <w:t xml:space="preserve"> ensemble le champ d'application de l'enquête (les questions à examiner) en se fondant sur les allégations soulevées par la plainte.  </w:t>
      </w:r>
    </w:p>
    <w:p w14:paraId="6F76CC73" w14:textId="54855918" w:rsidR="00270F15" w:rsidRPr="00904A32" w:rsidRDefault="00270F15" w:rsidP="00270F15">
      <w:pPr>
        <w:pStyle w:val="TMGenL1"/>
        <w:rPr>
          <w:rFonts w:cstheme="majorHAnsi"/>
          <w:sz w:val="22"/>
          <w:szCs w:val="22"/>
          <w:lang w:val="fr-CA"/>
        </w:rPr>
      </w:pPr>
      <w:r w:rsidRPr="00904A32">
        <w:rPr>
          <w:rFonts w:cstheme="majorHAnsi"/>
          <w:color w:val="0070C0"/>
          <w:sz w:val="22"/>
          <w:szCs w:val="22"/>
          <w:lang w:val="fr-CA"/>
        </w:rPr>
        <w:t>[PSE]</w:t>
      </w:r>
      <w:r w:rsidRPr="00904A32">
        <w:rPr>
          <w:rFonts w:cstheme="majorHAnsi"/>
          <w:sz w:val="22"/>
          <w:szCs w:val="22"/>
          <w:lang w:val="fr-CA"/>
        </w:rPr>
        <w:t xml:space="preserve"> et l'enquêteur identifieront les questions qui sont </w:t>
      </w:r>
      <w:r w:rsidR="001C3EC3" w:rsidRPr="00904A32">
        <w:rPr>
          <w:rFonts w:cstheme="majorHAnsi"/>
          <w:sz w:val="22"/>
          <w:szCs w:val="22"/>
          <w:lang w:val="fr-CA"/>
        </w:rPr>
        <w:t>manifeste</w:t>
      </w:r>
      <w:r w:rsidRPr="00904A32">
        <w:rPr>
          <w:rFonts w:cstheme="majorHAnsi"/>
          <w:sz w:val="22"/>
          <w:szCs w:val="22"/>
          <w:lang w:val="fr-CA"/>
        </w:rPr>
        <w:t xml:space="preserve">ment à l'extérieur du champ d'application de l'enquête. Par exemple, si au cours de </w:t>
      </w:r>
      <w:r w:rsidRPr="00904A32">
        <w:rPr>
          <w:rFonts w:cstheme="majorHAnsi"/>
          <w:sz w:val="22"/>
          <w:szCs w:val="22"/>
          <w:lang w:val="fr-CA"/>
        </w:rPr>
        <w:lastRenderedPageBreak/>
        <w:t>l'enquête, des allégations sont soulevées qui pourraient inquiéter l'enquêteur et le pousser à croire que l'enfant a besoin de protection, l'enquête devra alors s'arrêter et l'enquêteur devra immédiatement rapporter la plainte et les i</w:t>
      </w:r>
      <w:r w:rsidR="00BC6622" w:rsidRPr="00904A32">
        <w:rPr>
          <w:rFonts w:cstheme="majorHAnsi"/>
          <w:sz w:val="22"/>
          <w:szCs w:val="22"/>
          <w:lang w:val="fr-CA"/>
        </w:rPr>
        <w:t>nformations sur lesquelles elle est fondée</w:t>
      </w:r>
      <w:r w:rsidRPr="00904A32">
        <w:rPr>
          <w:rFonts w:cstheme="majorHAnsi"/>
          <w:sz w:val="22"/>
          <w:szCs w:val="22"/>
          <w:lang w:val="fr-CA"/>
        </w:rPr>
        <w:t xml:space="preserve"> à une SAE.    </w:t>
      </w:r>
    </w:p>
    <w:p w14:paraId="3EE5F50D" w14:textId="28FAAFB4" w:rsidR="00444558" w:rsidRPr="00904A32" w:rsidRDefault="00DC50E6" w:rsidP="00270F15">
      <w:pPr>
        <w:pStyle w:val="TMGenL1"/>
        <w:rPr>
          <w:rFonts w:cstheme="majorHAnsi"/>
          <w:sz w:val="22"/>
          <w:szCs w:val="22"/>
          <w:lang w:val="fr-CA"/>
        </w:rPr>
      </w:pPr>
      <w:r w:rsidRPr="00904A32">
        <w:rPr>
          <w:rFonts w:cstheme="majorHAnsi"/>
          <w:color w:val="0070C0"/>
          <w:sz w:val="22"/>
          <w:szCs w:val="22"/>
          <w:lang w:val="fr-CA"/>
        </w:rPr>
        <w:t>[PSE]</w:t>
      </w:r>
      <w:r w:rsidRPr="00904A32">
        <w:rPr>
          <w:rFonts w:cstheme="majorHAnsi"/>
          <w:sz w:val="22"/>
          <w:szCs w:val="22"/>
          <w:lang w:val="fr-CA"/>
        </w:rPr>
        <w:t xml:space="preserve"> déterminera avec l'enquêteur s'il désire que l'enquête demeure une simple activité de recherche de fait</w:t>
      </w:r>
      <w:r w:rsidR="00E33A45" w:rsidRPr="00904A32">
        <w:rPr>
          <w:rFonts w:cstheme="majorHAnsi"/>
          <w:sz w:val="22"/>
          <w:szCs w:val="22"/>
          <w:lang w:val="fr-CA"/>
        </w:rPr>
        <w:t>s</w:t>
      </w:r>
      <w:r w:rsidRPr="00904A32">
        <w:rPr>
          <w:rFonts w:cstheme="majorHAnsi"/>
          <w:sz w:val="22"/>
          <w:szCs w:val="22"/>
          <w:lang w:val="fr-CA"/>
        </w:rPr>
        <w:t xml:space="preserve"> ou s'il veut que des conclusions ou des recommandations légales (uniquement si l'enquêteur est un avocat) soient inclus</w:t>
      </w:r>
      <w:r w:rsidR="00B718D0" w:rsidRPr="00904A32">
        <w:rPr>
          <w:rFonts w:cstheme="majorHAnsi"/>
          <w:sz w:val="22"/>
          <w:szCs w:val="22"/>
          <w:lang w:val="fr-CA"/>
        </w:rPr>
        <w:t>es</w:t>
      </w:r>
      <w:r w:rsidRPr="00904A32">
        <w:rPr>
          <w:rFonts w:cstheme="majorHAnsi"/>
          <w:sz w:val="22"/>
          <w:szCs w:val="22"/>
          <w:lang w:val="fr-CA"/>
        </w:rPr>
        <w:t xml:space="preserve"> dans le rapport de l'enquêteur.</w:t>
      </w:r>
    </w:p>
    <w:p w14:paraId="452A4DC1" w14:textId="02F5C5A0" w:rsidR="00DC50E6" w:rsidRPr="00904A32" w:rsidRDefault="00DC50E6" w:rsidP="00DC50E6">
      <w:pPr>
        <w:rPr>
          <w:b/>
          <w:sz w:val="22"/>
          <w:lang w:val="fr-CA"/>
        </w:rPr>
      </w:pPr>
      <w:r w:rsidRPr="00904A32">
        <w:rPr>
          <w:b/>
          <w:sz w:val="22"/>
          <w:lang w:val="fr-CA"/>
        </w:rPr>
        <w:t>Logistique ayant trait aux entrevues des témoins</w:t>
      </w:r>
    </w:p>
    <w:p w14:paraId="2C5B49C8" w14:textId="143A083A" w:rsidR="00DC50E6" w:rsidRPr="00904A32" w:rsidRDefault="00CB74A5" w:rsidP="00270F15">
      <w:pPr>
        <w:pStyle w:val="TMGenL1"/>
        <w:rPr>
          <w:rFonts w:cstheme="majorHAnsi"/>
          <w:sz w:val="22"/>
          <w:szCs w:val="22"/>
          <w:lang w:val="fr-CA"/>
        </w:rPr>
      </w:pPr>
      <w:r w:rsidRPr="00904A32">
        <w:rPr>
          <w:rFonts w:cstheme="majorHAnsi"/>
          <w:sz w:val="22"/>
          <w:szCs w:val="22"/>
          <w:lang w:val="fr-CA"/>
        </w:rPr>
        <w:t xml:space="preserve">L'enquêteur et le </w:t>
      </w:r>
      <w:r w:rsidRPr="00904A32">
        <w:rPr>
          <w:rFonts w:cstheme="majorHAnsi"/>
          <w:color w:val="0070C0"/>
          <w:sz w:val="22"/>
          <w:szCs w:val="22"/>
          <w:lang w:val="fr-CA"/>
        </w:rPr>
        <w:t>[PSE]</w:t>
      </w:r>
      <w:r w:rsidR="00EA48DD" w:rsidRPr="00904A32">
        <w:rPr>
          <w:rFonts w:cstheme="majorHAnsi"/>
          <w:sz w:val="22"/>
          <w:szCs w:val="22"/>
          <w:lang w:val="fr-CA"/>
        </w:rPr>
        <w:t xml:space="preserve"> </w:t>
      </w:r>
      <w:r w:rsidR="00E33A45" w:rsidRPr="00904A32">
        <w:rPr>
          <w:rFonts w:cstheme="majorHAnsi"/>
          <w:sz w:val="22"/>
          <w:szCs w:val="22"/>
          <w:lang w:val="fr-CA"/>
        </w:rPr>
        <w:t>tranche</w:t>
      </w:r>
      <w:r w:rsidR="00EA48DD" w:rsidRPr="00904A32">
        <w:rPr>
          <w:rFonts w:cstheme="majorHAnsi"/>
          <w:sz w:val="22"/>
          <w:szCs w:val="22"/>
          <w:lang w:val="fr-CA"/>
        </w:rPr>
        <w:t>ront sur les questions de logistique relative</w:t>
      </w:r>
      <w:r w:rsidR="00E33A45" w:rsidRPr="00904A32">
        <w:rPr>
          <w:rFonts w:cstheme="majorHAnsi"/>
          <w:sz w:val="22"/>
          <w:szCs w:val="22"/>
          <w:lang w:val="fr-CA"/>
        </w:rPr>
        <w:t>s</w:t>
      </w:r>
      <w:r w:rsidR="00EA48DD" w:rsidRPr="00904A32">
        <w:rPr>
          <w:rFonts w:cstheme="majorHAnsi"/>
          <w:sz w:val="22"/>
          <w:szCs w:val="22"/>
          <w:lang w:val="fr-CA"/>
        </w:rPr>
        <w:t xml:space="preserve"> aux entrevues des témoins, notamment</w:t>
      </w:r>
      <w:r w:rsidR="00B718D0" w:rsidRPr="00904A32">
        <w:rPr>
          <w:rFonts w:cstheme="majorHAnsi"/>
          <w:sz w:val="22"/>
          <w:szCs w:val="22"/>
          <w:lang w:val="fr-CA"/>
        </w:rPr>
        <w:t> </w:t>
      </w:r>
      <w:r w:rsidR="00EA48DD" w:rsidRPr="00904A32">
        <w:rPr>
          <w:rFonts w:cstheme="majorHAnsi"/>
          <w:sz w:val="22"/>
          <w:szCs w:val="22"/>
          <w:lang w:val="fr-CA"/>
        </w:rPr>
        <w:t>:</w:t>
      </w:r>
    </w:p>
    <w:p w14:paraId="24E8898B" w14:textId="545C18CF" w:rsidR="00EA48DD" w:rsidRPr="00904A32" w:rsidRDefault="00EA48DD" w:rsidP="00EA48DD">
      <w:pPr>
        <w:pStyle w:val="ListParagraph"/>
        <w:numPr>
          <w:ilvl w:val="0"/>
          <w:numId w:val="14"/>
        </w:numPr>
        <w:rPr>
          <w:sz w:val="22"/>
          <w:lang w:val="fr-CA"/>
        </w:rPr>
      </w:pPr>
      <w:r w:rsidRPr="00904A32">
        <w:rPr>
          <w:sz w:val="22"/>
          <w:lang w:val="fr-CA"/>
        </w:rPr>
        <w:t>le lieu où les entrevues se dérouleront</w:t>
      </w:r>
      <w:r w:rsidR="00B718D0" w:rsidRPr="00904A32">
        <w:rPr>
          <w:sz w:val="22"/>
          <w:lang w:val="fr-CA"/>
        </w:rPr>
        <w:t> </w:t>
      </w:r>
      <w:r w:rsidRPr="00904A32">
        <w:rPr>
          <w:sz w:val="22"/>
          <w:lang w:val="fr-CA"/>
        </w:rPr>
        <w:t xml:space="preserve">; </w:t>
      </w:r>
    </w:p>
    <w:p w14:paraId="269C3A2B" w14:textId="2121B528" w:rsidR="00EA48DD" w:rsidRPr="00904A32" w:rsidRDefault="00EA48DD" w:rsidP="00EA48DD">
      <w:pPr>
        <w:pStyle w:val="ListParagraph"/>
        <w:numPr>
          <w:ilvl w:val="0"/>
          <w:numId w:val="14"/>
        </w:numPr>
        <w:rPr>
          <w:sz w:val="22"/>
          <w:lang w:val="fr-CA"/>
        </w:rPr>
      </w:pPr>
      <w:r w:rsidRPr="00904A32">
        <w:rPr>
          <w:sz w:val="22"/>
          <w:lang w:val="fr-CA"/>
        </w:rPr>
        <w:t>l'ordre, les dates et les heures des entrevues</w:t>
      </w:r>
      <w:r w:rsidR="00B718D0" w:rsidRPr="00904A32">
        <w:rPr>
          <w:sz w:val="22"/>
          <w:lang w:val="fr-CA"/>
        </w:rPr>
        <w:t> </w:t>
      </w:r>
      <w:r w:rsidRPr="00904A32">
        <w:rPr>
          <w:sz w:val="22"/>
          <w:lang w:val="fr-CA"/>
        </w:rPr>
        <w:t xml:space="preserve">; </w:t>
      </w:r>
    </w:p>
    <w:p w14:paraId="05793FEF" w14:textId="2CBCF2F6" w:rsidR="00EA48DD" w:rsidRPr="00904A32" w:rsidRDefault="00EA48DD" w:rsidP="00EA48DD">
      <w:pPr>
        <w:pStyle w:val="ListParagraph"/>
        <w:numPr>
          <w:ilvl w:val="0"/>
          <w:numId w:val="14"/>
        </w:numPr>
        <w:rPr>
          <w:sz w:val="22"/>
          <w:lang w:val="fr-CA"/>
        </w:rPr>
      </w:pPr>
      <w:r w:rsidRPr="00904A32">
        <w:rPr>
          <w:sz w:val="22"/>
          <w:lang w:val="fr-CA"/>
        </w:rPr>
        <w:t xml:space="preserve">la façon dont les entrevues seront enregistrées (p. ex. notes manuscrites ou </w:t>
      </w:r>
      <w:r w:rsidR="00E33A45" w:rsidRPr="00904A32">
        <w:rPr>
          <w:sz w:val="22"/>
          <w:lang w:val="fr-CA"/>
        </w:rPr>
        <w:t>par ordinateur</w:t>
      </w:r>
      <w:r w:rsidRPr="00904A32">
        <w:rPr>
          <w:sz w:val="22"/>
          <w:lang w:val="fr-CA"/>
        </w:rPr>
        <w:t>, enregistrement audio)</w:t>
      </w:r>
      <w:r w:rsidR="00B718D0" w:rsidRPr="00904A32">
        <w:rPr>
          <w:sz w:val="22"/>
          <w:lang w:val="fr-CA"/>
        </w:rPr>
        <w:t> </w:t>
      </w:r>
      <w:r w:rsidRPr="00904A32">
        <w:rPr>
          <w:sz w:val="22"/>
          <w:lang w:val="fr-CA"/>
        </w:rPr>
        <w:t xml:space="preserve">; </w:t>
      </w:r>
    </w:p>
    <w:p w14:paraId="7B620EA9" w14:textId="0ADC39B9" w:rsidR="000504B9" w:rsidRPr="00904A32" w:rsidRDefault="00EA48DD" w:rsidP="00EA48DD">
      <w:pPr>
        <w:pStyle w:val="ListParagraph"/>
        <w:numPr>
          <w:ilvl w:val="0"/>
          <w:numId w:val="14"/>
        </w:numPr>
        <w:rPr>
          <w:sz w:val="22"/>
          <w:lang w:val="fr-CA"/>
        </w:rPr>
      </w:pPr>
      <w:r w:rsidRPr="00904A32">
        <w:rPr>
          <w:sz w:val="22"/>
          <w:lang w:val="fr-CA"/>
        </w:rPr>
        <w:t>la disponibilité de</w:t>
      </w:r>
      <w:r w:rsidR="00B718D0" w:rsidRPr="00904A32">
        <w:rPr>
          <w:sz w:val="22"/>
          <w:lang w:val="fr-CA"/>
        </w:rPr>
        <w:t>s</w:t>
      </w:r>
      <w:r w:rsidRPr="00904A32">
        <w:rPr>
          <w:sz w:val="22"/>
          <w:lang w:val="fr-CA"/>
        </w:rPr>
        <w:t xml:space="preserve"> personnes de soutien comme </w:t>
      </w:r>
      <w:r w:rsidR="00546656" w:rsidRPr="00904A32">
        <w:rPr>
          <w:sz w:val="22"/>
          <w:lang w:val="fr-CA"/>
        </w:rPr>
        <w:t>des</w:t>
      </w:r>
      <w:r w:rsidRPr="00904A32">
        <w:rPr>
          <w:sz w:val="22"/>
          <w:lang w:val="fr-CA"/>
        </w:rPr>
        <w:t xml:space="preserve"> représentant</w:t>
      </w:r>
      <w:r w:rsidR="00546656" w:rsidRPr="00904A32">
        <w:rPr>
          <w:sz w:val="22"/>
          <w:lang w:val="fr-CA"/>
        </w:rPr>
        <w:t>s</w:t>
      </w:r>
      <w:r w:rsidRPr="00904A32">
        <w:rPr>
          <w:sz w:val="22"/>
          <w:lang w:val="fr-CA"/>
        </w:rPr>
        <w:t xml:space="preserve"> de la diversité ou des communautés des Premières Nations, Inuit ou Métis</w:t>
      </w:r>
      <w:r w:rsidR="00B718D0" w:rsidRPr="00904A32">
        <w:rPr>
          <w:sz w:val="22"/>
          <w:lang w:val="fr-CA"/>
        </w:rPr>
        <w:t> </w:t>
      </w:r>
      <w:r w:rsidRPr="00904A32">
        <w:rPr>
          <w:sz w:val="22"/>
          <w:lang w:val="fr-CA"/>
        </w:rPr>
        <w:t>;</w:t>
      </w:r>
    </w:p>
    <w:p w14:paraId="3B2E9002" w14:textId="367597A0" w:rsidR="00EA48DD" w:rsidRPr="00904A32" w:rsidRDefault="000504B9" w:rsidP="00EA48DD">
      <w:pPr>
        <w:pStyle w:val="ListParagraph"/>
        <w:numPr>
          <w:ilvl w:val="0"/>
          <w:numId w:val="14"/>
        </w:numPr>
        <w:rPr>
          <w:sz w:val="22"/>
          <w:lang w:val="fr-CA"/>
        </w:rPr>
      </w:pPr>
      <w:r w:rsidRPr="00904A32">
        <w:rPr>
          <w:sz w:val="22"/>
          <w:lang w:val="fr-CA"/>
        </w:rPr>
        <w:t xml:space="preserve">Le besoin de ménager des accommodements particuliers (p. ex. un traducteur ou un interprète)  </w:t>
      </w:r>
    </w:p>
    <w:p w14:paraId="639059F6" w14:textId="1BE4D35F" w:rsidR="008E5C76" w:rsidRPr="008E5C76" w:rsidRDefault="008E5C76" w:rsidP="008E5C76">
      <w:pPr>
        <w:rPr>
          <w:b/>
          <w:sz w:val="22"/>
        </w:rPr>
      </w:pPr>
      <w:proofErr w:type="spellStart"/>
      <w:r w:rsidRPr="008E5C76">
        <w:rPr>
          <w:b/>
          <w:sz w:val="22"/>
        </w:rPr>
        <w:t>Préparations</w:t>
      </w:r>
      <w:proofErr w:type="spellEnd"/>
      <w:r w:rsidRPr="008E5C76">
        <w:rPr>
          <w:b/>
          <w:sz w:val="22"/>
        </w:rPr>
        <w:t xml:space="preserve"> </w:t>
      </w:r>
      <w:proofErr w:type="spellStart"/>
      <w:proofErr w:type="gramStart"/>
      <w:r w:rsidRPr="008E5C76">
        <w:rPr>
          <w:b/>
          <w:sz w:val="22"/>
        </w:rPr>
        <w:t>complémentaires</w:t>
      </w:r>
      <w:proofErr w:type="spellEnd"/>
      <w:r w:rsidR="00B718D0">
        <w:rPr>
          <w:b/>
          <w:sz w:val="22"/>
        </w:rPr>
        <w:t> </w:t>
      </w:r>
      <w:r w:rsidRPr="008E5C76">
        <w:rPr>
          <w:b/>
          <w:sz w:val="22"/>
        </w:rPr>
        <w:t>:</w:t>
      </w:r>
      <w:proofErr w:type="gramEnd"/>
    </w:p>
    <w:p w14:paraId="3D8B606E" w14:textId="3833AA95" w:rsidR="001146F0" w:rsidRDefault="001146F0" w:rsidP="001146F0">
      <w:pPr>
        <w:pStyle w:val="TMGenL1"/>
        <w:rPr>
          <w:rFonts w:cstheme="majorHAnsi"/>
          <w:sz w:val="22"/>
          <w:szCs w:val="22"/>
        </w:rPr>
      </w:pPr>
      <w:proofErr w:type="spellStart"/>
      <w:r>
        <w:rPr>
          <w:rFonts w:cstheme="majorHAnsi"/>
          <w:sz w:val="22"/>
          <w:szCs w:val="22"/>
        </w:rPr>
        <w:t>L'enquêteur</w:t>
      </w:r>
      <w:proofErr w:type="spellEnd"/>
      <w:r>
        <w:rPr>
          <w:rFonts w:cstheme="majorHAnsi"/>
          <w:sz w:val="22"/>
          <w:szCs w:val="22"/>
        </w:rPr>
        <w:t xml:space="preserve"> </w:t>
      </w:r>
      <w:proofErr w:type="spellStart"/>
      <w:r>
        <w:rPr>
          <w:rFonts w:cstheme="majorHAnsi"/>
          <w:sz w:val="22"/>
          <w:szCs w:val="22"/>
        </w:rPr>
        <w:t>examinera</w:t>
      </w:r>
      <w:proofErr w:type="spellEnd"/>
      <w:r w:rsidR="00B718D0">
        <w:rPr>
          <w:rFonts w:cstheme="majorHAnsi"/>
          <w:sz w:val="22"/>
          <w:szCs w:val="22"/>
        </w:rPr>
        <w:t> </w:t>
      </w:r>
      <w:r>
        <w:rPr>
          <w:rFonts w:cstheme="majorHAnsi"/>
          <w:sz w:val="22"/>
          <w:szCs w:val="22"/>
        </w:rPr>
        <w:t>:</w:t>
      </w:r>
    </w:p>
    <w:p w14:paraId="27101CFE" w14:textId="48022E10" w:rsidR="001146F0" w:rsidRPr="00904A32" w:rsidRDefault="001146F0" w:rsidP="001146F0">
      <w:pPr>
        <w:pStyle w:val="ListParagraph"/>
        <w:numPr>
          <w:ilvl w:val="0"/>
          <w:numId w:val="15"/>
        </w:numPr>
        <w:rPr>
          <w:rFonts w:cstheme="majorHAnsi"/>
          <w:sz w:val="22"/>
          <w:szCs w:val="22"/>
          <w:lang w:val="fr-CA"/>
        </w:rPr>
      </w:pPr>
      <w:r w:rsidRPr="00904A32">
        <w:rPr>
          <w:rFonts w:cstheme="majorHAnsi"/>
          <w:sz w:val="22"/>
          <w:szCs w:val="22"/>
          <w:lang w:val="fr-CA"/>
        </w:rPr>
        <w:t>la plainte ainsi que tous</w:t>
      </w:r>
      <w:r w:rsidR="00B718D0" w:rsidRPr="00904A32">
        <w:rPr>
          <w:rFonts w:cstheme="majorHAnsi"/>
          <w:sz w:val="22"/>
          <w:szCs w:val="22"/>
          <w:lang w:val="fr-CA"/>
        </w:rPr>
        <w:t xml:space="preserve"> les</w:t>
      </w:r>
      <w:r w:rsidRPr="00904A32">
        <w:rPr>
          <w:rFonts w:cstheme="majorHAnsi"/>
          <w:sz w:val="22"/>
          <w:szCs w:val="22"/>
          <w:lang w:val="fr-CA"/>
        </w:rPr>
        <w:t xml:space="preserve"> documents annexes (p.ex. dossiers du personnel et des pensionnaires, </w:t>
      </w:r>
      <w:r w:rsidR="00546656" w:rsidRPr="00904A32">
        <w:rPr>
          <w:rFonts w:cstheme="majorHAnsi"/>
          <w:sz w:val="22"/>
          <w:szCs w:val="22"/>
          <w:lang w:val="fr-CA"/>
        </w:rPr>
        <w:t>registres</w:t>
      </w:r>
      <w:r w:rsidRPr="00904A32">
        <w:rPr>
          <w:rFonts w:cstheme="majorHAnsi"/>
          <w:sz w:val="22"/>
          <w:szCs w:val="22"/>
          <w:lang w:val="fr-CA"/>
        </w:rPr>
        <w:t>, note</w:t>
      </w:r>
      <w:r w:rsidR="00546656" w:rsidRPr="00904A32">
        <w:rPr>
          <w:rFonts w:cstheme="majorHAnsi"/>
          <w:sz w:val="22"/>
          <w:szCs w:val="22"/>
          <w:lang w:val="fr-CA"/>
        </w:rPr>
        <w:t>s</w:t>
      </w:r>
      <w:r w:rsidRPr="00904A32">
        <w:rPr>
          <w:rFonts w:cstheme="majorHAnsi"/>
          <w:sz w:val="22"/>
          <w:szCs w:val="22"/>
          <w:lang w:val="fr-CA"/>
        </w:rPr>
        <w:t>, courriel</w:t>
      </w:r>
      <w:r w:rsidR="00546656" w:rsidRPr="00904A32">
        <w:rPr>
          <w:rFonts w:cstheme="majorHAnsi"/>
          <w:sz w:val="22"/>
          <w:szCs w:val="22"/>
          <w:lang w:val="fr-CA"/>
        </w:rPr>
        <w:t>s</w:t>
      </w:r>
      <w:r w:rsidRPr="00904A32">
        <w:rPr>
          <w:rFonts w:cstheme="majorHAnsi"/>
          <w:sz w:val="22"/>
          <w:szCs w:val="22"/>
          <w:lang w:val="fr-CA"/>
        </w:rPr>
        <w:t>)</w:t>
      </w:r>
      <w:r w:rsidR="00B718D0" w:rsidRPr="00904A32">
        <w:rPr>
          <w:rFonts w:cstheme="majorHAnsi"/>
          <w:sz w:val="22"/>
          <w:szCs w:val="22"/>
          <w:lang w:val="fr-CA"/>
        </w:rPr>
        <w:t> </w:t>
      </w:r>
      <w:r w:rsidRPr="00904A32">
        <w:rPr>
          <w:rFonts w:cstheme="majorHAnsi"/>
          <w:sz w:val="22"/>
          <w:szCs w:val="22"/>
          <w:lang w:val="fr-CA"/>
        </w:rPr>
        <w:t>;</w:t>
      </w:r>
    </w:p>
    <w:p w14:paraId="4019B568" w14:textId="2A9EDA60" w:rsidR="001146F0" w:rsidRPr="00904A32" w:rsidRDefault="001146F0" w:rsidP="001146F0">
      <w:pPr>
        <w:pStyle w:val="ListParagraph"/>
        <w:numPr>
          <w:ilvl w:val="0"/>
          <w:numId w:val="15"/>
        </w:numPr>
        <w:rPr>
          <w:rFonts w:cstheme="majorHAnsi"/>
          <w:sz w:val="22"/>
          <w:szCs w:val="22"/>
          <w:lang w:val="fr-CA"/>
        </w:rPr>
      </w:pPr>
      <w:r w:rsidRPr="00904A32">
        <w:rPr>
          <w:sz w:val="22"/>
          <w:lang w:val="fr-CA"/>
        </w:rPr>
        <w:t>les politiques du</w:t>
      </w:r>
      <w:r w:rsidRPr="00904A32">
        <w:rPr>
          <w:color w:val="0070C0"/>
          <w:sz w:val="22"/>
          <w:lang w:val="fr-CA"/>
        </w:rPr>
        <w:t xml:space="preserve"> </w:t>
      </w:r>
      <w:r w:rsidR="00546656" w:rsidRPr="00904A32">
        <w:rPr>
          <w:color w:val="0070C0"/>
          <w:sz w:val="22"/>
          <w:lang w:val="fr-CA"/>
        </w:rPr>
        <w:t>[</w:t>
      </w:r>
      <w:r w:rsidRPr="00904A32">
        <w:rPr>
          <w:color w:val="0070C0"/>
          <w:sz w:val="22"/>
          <w:lang w:val="fr-CA"/>
        </w:rPr>
        <w:t>PSE</w:t>
      </w:r>
      <w:r w:rsidR="00546656" w:rsidRPr="00904A32">
        <w:rPr>
          <w:color w:val="0070C0"/>
          <w:sz w:val="22"/>
          <w:lang w:val="fr-CA"/>
        </w:rPr>
        <w:t>]</w:t>
      </w:r>
      <w:r w:rsidRPr="00904A32">
        <w:rPr>
          <w:sz w:val="22"/>
          <w:lang w:val="fr-CA"/>
        </w:rPr>
        <w:t xml:space="preserve"> applicables à la situation, notamment les politiques et procédures relatives aux plaintes et aux enquêtes</w:t>
      </w:r>
      <w:r w:rsidR="00B718D0" w:rsidRPr="00904A32">
        <w:rPr>
          <w:sz w:val="22"/>
          <w:lang w:val="fr-CA"/>
        </w:rPr>
        <w:t> </w:t>
      </w:r>
      <w:r w:rsidRPr="00904A32">
        <w:rPr>
          <w:sz w:val="22"/>
          <w:lang w:val="fr-CA"/>
        </w:rPr>
        <w:t>;</w:t>
      </w:r>
    </w:p>
    <w:p w14:paraId="1305A2EF" w14:textId="61BFFE3D" w:rsidR="001146F0" w:rsidRPr="00904A32" w:rsidRDefault="001146F0" w:rsidP="001146F0">
      <w:pPr>
        <w:pStyle w:val="ListParagraph"/>
        <w:numPr>
          <w:ilvl w:val="0"/>
          <w:numId w:val="15"/>
        </w:numPr>
        <w:rPr>
          <w:rFonts w:cstheme="majorHAnsi"/>
          <w:sz w:val="22"/>
          <w:szCs w:val="22"/>
          <w:lang w:val="fr-CA"/>
        </w:rPr>
      </w:pPr>
      <w:r w:rsidRPr="00904A32">
        <w:rPr>
          <w:rFonts w:cstheme="majorHAnsi"/>
          <w:sz w:val="22"/>
          <w:szCs w:val="22"/>
          <w:lang w:val="fr-CA"/>
        </w:rPr>
        <w:t>la législation, les politiques du MSEJ et les normes d'agrément en vigueur applicables à la situation</w:t>
      </w:r>
      <w:r w:rsidR="00B718D0" w:rsidRPr="00904A32">
        <w:rPr>
          <w:rFonts w:cstheme="majorHAnsi"/>
          <w:sz w:val="22"/>
          <w:szCs w:val="22"/>
          <w:lang w:val="fr-CA"/>
        </w:rPr>
        <w:t> </w:t>
      </w:r>
      <w:r w:rsidRPr="00904A32">
        <w:rPr>
          <w:rFonts w:cstheme="majorHAnsi"/>
          <w:sz w:val="22"/>
          <w:szCs w:val="22"/>
          <w:lang w:val="fr-CA"/>
        </w:rPr>
        <w:t>;</w:t>
      </w:r>
    </w:p>
    <w:p w14:paraId="2FCE1D53" w14:textId="54E62B13" w:rsidR="001146F0" w:rsidRPr="00904A32" w:rsidRDefault="001146F0" w:rsidP="001146F0">
      <w:pPr>
        <w:pStyle w:val="ListParagraph"/>
        <w:numPr>
          <w:ilvl w:val="0"/>
          <w:numId w:val="15"/>
        </w:numPr>
        <w:rPr>
          <w:rFonts w:cstheme="majorHAnsi"/>
          <w:sz w:val="22"/>
          <w:szCs w:val="22"/>
          <w:lang w:val="fr-CA"/>
        </w:rPr>
      </w:pPr>
      <w:r w:rsidRPr="00904A32">
        <w:rPr>
          <w:rFonts w:cstheme="majorHAnsi"/>
          <w:sz w:val="22"/>
          <w:szCs w:val="22"/>
          <w:lang w:val="fr-CA"/>
        </w:rPr>
        <w:t>la convention collective (le cas échéant) pour déterminer s'il est exigé que le syndicat participe à certaines étapes de l'enquête.</w:t>
      </w:r>
    </w:p>
    <w:p w14:paraId="0B005140" w14:textId="7719684F" w:rsidR="001146F0" w:rsidRPr="00904A32" w:rsidRDefault="00091998" w:rsidP="001146F0">
      <w:pPr>
        <w:pStyle w:val="TMGenL1"/>
        <w:rPr>
          <w:rFonts w:cstheme="majorHAnsi"/>
          <w:sz w:val="22"/>
          <w:szCs w:val="22"/>
          <w:lang w:val="fr-CA"/>
        </w:rPr>
      </w:pPr>
      <w:r w:rsidRPr="00904A32">
        <w:rPr>
          <w:rFonts w:cstheme="majorHAnsi"/>
          <w:sz w:val="22"/>
          <w:szCs w:val="22"/>
          <w:lang w:val="fr-CA"/>
        </w:rPr>
        <w:t xml:space="preserve">L'enquêteur discutera avec le </w:t>
      </w:r>
      <w:r w:rsidRPr="00904A32">
        <w:rPr>
          <w:rFonts w:cstheme="majorHAnsi"/>
          <w:color w:val="0070C0"/>
          <w:sz w:val="22"/>
          <w:szCs w:val="22"/>
          <w:lang w:val="fr-CA"/>
        </w:rPr>
        <w:t>PSE</w:t>
      </w:r>
      <w:r w:rsidR="001146F0" w:rsidRPr="00904A32">
        <w:rPr>
          <w:rFonts w:cstheme="majorHAnsi"/>
          <w:sz w:val="22"/>
          <w:szCs w:val="22"/>
          <w:lang w:val="fr-CA"/>
        </w:rPr>
        <w:t xml:space="preserve"> pour savoir si des mesures intermédiaires ont été ou seront mises en œuvre en attendant la conclusion de l'enquête (p.ex. transférer un membre du personnel, reconfigurer le rapport de supervision, suspendre un employé avec rémunération en attendant la conclusion de l'enquête, offrir un programme d'aide aux membres du personnel).</w:t>
      </w:r>
    </w:p>
    <w:p w14:paraId="7844A800" w14:textId="37A04B2E" w:rsidR="001146F0" w:rsidRPr="00904A32" w:rsidRDefault="00091998" w:rsidP="001146F0">
      <w:pPr>
        <w:pStyle w:val="TMGenL1"/>
        <w:rPr>
          <w:rFonts w:cstheme="majorHAnsi"/>
          <w:sz w:val="22"/>
          <w:szCs w:val="22"/>
          <w:lang w:val="fr-CA"/>
        </w:rPr>
      </w:pPr>
      <w:r w:rsidRPr="00904A32">
        <w:rPr>
          <w:rFonts w:cstheme="majorHAnsi"/>
          <w:sz w:val="22"/>
          <w:szCs w:val="22"/>
          <w:lang w:val="fr-CA"/>
        </w:rPr>
        <w:t>L'enquêteur commencera à rédiger des questions ou à déterminer les domaines à explorer avec les parties et les témoins.</w:t>
      </w:r>
    </w:p>
    <w:p w14:paraId="5383DBA3" w14:textId="2FA8C51C" w:rsidR="001146F0" w:rsidRPr="00904A32" w:rsidRDefault="00091998" w:rsidP="001146F0">
      <w:pPr>
        <w:pStyle w:val="TMGenL1"/>
        <w:rPr>
          <w:rFonts w:cstheme="majorHAnsi"/>
          <w:sz w:val="22"/>
          <w:szCs w:val="22"/>
          <w:lang w:val="fr-CA"/>
        </w:rPr>
      </w:pPr>
      <w:r w:rsidRPr="00904A32">
        <w:rPr>
          <w:rFonts w:cstheme="majorHAnsi"/>
          <w:sz w:val="22"/>
          <w:szCs w:val="22"/>
          <w:lang w:val="fr-CA"/>
        </w:rPr>
        <w:t xml:space="preserve">L'enquêteur déterminera s'il a besoin d'assistance pour mener l'enquête (p. ex. un expert en informatique pour récupérer ou restaurer des fichiers </w:t>
      </w:r>
      <w:r w:rsidRPr="00904A32">
        <w:rPr>
          <w:rFonts w:cstheme="majorHAnsi"/>
          <w:sz w:val="22"/>
          <w:szCs w:val="22"/>
          <w:lang w:val="fr-CA"/>
        </w:rPr>
        <w:lastRenderedPageBreak/>
        <w:t xml:space="preserve">informatiques, quelqu'un pour prendre des notes relatant les </w:t>
      </w:r>
      <w:r w:rsidR="00904A32">
        <w:rPr>
          <w:rFonts w:cstheme="majorHAnsi"/>
          <w:sz w:val="22"/>
          <w:szCs w:val="22"/>
          <w:lang w:val="fr-CA"/>
        </w:rPr>
        <w:t>entrevues</w:t>
      </w:r>
      <w:r w:rsidRPr="00904A32">
        <w:rPr>
          <w:rFonts w:cstheme="majorHAnsi"/>
          <w:sz w:val="22"/>
          <w:szCs w:val="22"/>
          <w:lang w:val="fr-CA"/>
        </w:rPr>
        <w:t>, manuscrites ou sur ordinateur).</w:t>
      </w:r>
    </w:p>
    <w:p w14:paraId="53AC827A" w14:textId="0C01A2B6" w:rsidR="001146F0" w:rsidRPr="00904A32" w:rsidRDefault="00091998" w:rsidP="001146F0">
      <w:pPr>
        <w:pStyle w:val="TMGenL1"/>
        <w:rPr>
          <w:rFonts w:cstheme="majorHAnsi"/>
          <w:sz w:val="22"/>
          <w:szCs w:val="22"/>
          <w:lang w:val="fr-CA"/>
        </w:rPr>
      </w:pPr>
      <w:r w:rsidRPr="00904A32">
        <w:rPr>
          <w:rFonts w:cstheme="majorHAnsi"/>
          <w:color w:val="0070C0"/>
          <w:sz w:val="22"/>
          <w:szCs w:val="22"/>
          <w:lang w:val="fr-CA"/>
        </w:rPr>
        <w:t>[PSE]</w:t>
      </w:r>
      <w:r w:rsidRPr="00904A32">
        <w:rPr>
          <w:rFonts w:cstheme="majorHAnsi"/>
          <w:sz w:val="22"/>
          <w:szCs w:val="22"/>
          <w:lang w:val="fr-CA"/>
        </w:rPr>
        <w:t xml:space="preserve"> préparera une lettre à adresser aux parties et aux témoins qui expliquera qu'une enquête sera réalisée, présentera l’enquêteur et sugg</w:t>
      </w:r>
      <w:r w:rsidR="00B718D0" w:rsidRPr="00904A32">
        <w:rPr>
          <w:rFonts w:cstheme="majorHAnsi"/>
          <w:sz w:val="22"/>
          <w:szCs w:val="22"/>
          <w:lang w:val="fr-CA"/>
        </w:rPr>
        <w:t>é</w:t>
      </w:r>
      <w:r w:rsidRPr="00904A32">
        <w:rPr>
          <w:rFonts w:cstheme="majorHAnsi"/>
          <w:sz w:val="22"/>
          <w:szCs w:val="22"/>
          <w:lang w:val="fr-CA"/>
        </w:rPr>
        <w:t>rera aux parties et aux témoins de demander l'assistance d'une personne de soutien</w:t>
      </w:r>
      <w:r w:rsidR="00546656" w:rsidRPr="00904A32">
        <w:rPr>
          <w:rFonts w:cstheme="majorHAnsi"/>
          <w:sz w:val="22"/>
          <w:szCs w:val="22"/>
          <w:lang w:val="fr-CA"/>
        </w:rPr>
        <w:t>.</w:t>
      </w:r>
    </w:p>
    <w:p w14:paraId="21F415E5" w14:textId="5F567F7F" w:rsidR="001146F0" w:rsidRPr="00904A32" w:rsidRDefault="00091998" w:rsidP="001146F0">
      <w:pPr>
        <w:pStyle w:val="TMGenL1"/>
        <w:rPr>
          <w:rFonts w:cstheme="majorHAnsi"/>
          <w:sz w:val="22"/>
          <w:szCs w:val="22"/>
          <w:lang w:val="fr-CA"/>
        </w:rPr>
      </w:pPr>
      <w:r w:rsidRPr="00904A32">
        <w:rPr>
          <w:rFonts w:cstheme="majorHAnsi"/>
          <w:sz w:val="22"/>
          <w:szCs w:val="22"/>
          <w:lang w:val="fr-CA"/>
        </w:rPr>
        <w:t>L'enquêteur fera suivre</w:t>
      </w:r>
      <w:r w:rsidR="00B718D0" w:rsidRPr="00904A32">
        <w:rPr>
          <w:rFonts w:cstheme="majorHAnsi"/>
          <w:sz w:val="22"/>
          <w:szCs w:val="22"/>
          <w:lang w:val="fr-CA"/>
        </w:rPr>
        <w:t xml:space="preserve"> cette première lettre</w:t>
      </w:r>
      <w:r w:rsidRPr="00904A32">
        <w:rPr>
          <w:rFonts w:cstheme="majorHAnsi"/>
          <w:sz w:val="22"/>
          <w:szCs w:val="22"/>
          <w:lang w:val="fr-CA"/>
        </w:rPr>
        <w:t xml:space="preserve"> d'une seconde</w:t>
      </w:r>
      <w:r w:rsidR="00B718D0" w:rsidRPr="00904A32">
        <w:rPr>
          <w:rFonts w:cstheme="majorHAnsi"/>
          <w:sz w:val="22"/>
          <w:szCs w:val="22"/>
          <w:lang w:val="fr-CA"/>
        </w:rPr>
        <w:t xml:space="preserve"> lettre</w:t>
      </w:r>
      <w:r w:rsidRPr="00904A32">
        <w:rPr>
          <w:rFonts w:cstheme="majorHAnsi"/>
          <w:sz w:val="22"/>
          <w:szCs w:val="22"/>
          <w:lang w:val="fr-CA"/>
        </w:rPr>
        <w:t>, d’un appel téléphonique ou d'une rencontre avec les parties et les témoins pour confirmer la date et le lieu de leur entrevue, la présence et le nom de la personne de soutien qui les accompagnera le cas échéant et/ou tout autre accommodement particulier dont ils pourraient avoir besoin pour participer à l'entretien (p.ex. un interprète).</w:t>
      </w:r>
    </w:p>
    <w:p w14:paraId="748F4F35" w14:textId="1839B7AF" w:rsidR="000E2993" w:rsidRPr="00904A32" w:rsidRDefault="000E2993" w:rsidP="000E2993">
      <w:pPr>
        <w:pStyle w:val="TMGenL1"/>
        <w:rPr>
          <w:rFonts w:cstheme="majorHAnsi"/>
          <w:sz w:val="22"/>
          <w:szCs w:val="22"/>
          <w:lang w:val="fr-CA"/>
        </w:rPr>
      </w:pPr>
      <w:r w:rsidRPr="00904A32">
        <w:rPr>
          <w:rFonts w:cstheme="majorHAnsi"/>
          <w:sz w:val="22"/>
          <w:szCs w:val="22"/>
          <w:lang w:val="fr-CA"/>
        </w:rPr>
        <w:t>L'enquêteur donnera un exemplaire de toutes les politiques applicables aux parties et aux témoins.</w:t>
      </w:r>
    </w:p>
    <w:p w14:paraId="532B1751" w14:textId="1D895217" w:rsidR="00626C0F" w:rsidRPr="00904A32" w:rsidRDefault="00626C0F" w:rsidP="00626C0F">
      <w:pPr>
        <w:pStyle w:val="TMGenL1"/>
        <w:rPr>
          <w:rFonts w:cstheme="majorHAnsi"/>
          <w:sz w:val="22"/>
          <w:szCs w:val="22"/>
          <w:lang w:val="fr-CA"/>
        </w:rPr>
      </w:pPr>
      <w:r w:rsidRPr="00904A32">
        <w:rPr>
          <w:rFonts w:cstheme="majorHAnsi"/>
          <w:sz w:val="22"/>
          <w:szCs w:val="22"/>
          <w:lang w:val="fr-CA"/>
        </w:rPr>
        <w:t>L'enquêteur résoudra tous les problèmes qui pourraient avoir lieu avec la personne de soutien choisi</w:t>
      </w:r>
      <w:r w:rsidR="00546656" w:rsidRPr="00904A32">
        <w:rPr>
          <w:rFonts w:cstheme="majorHAnsi"/>
          <w:sz w:val="22"/>
          <w:szCs w:val="22"/>
          <w:lang w:val="fr-CA"/>
        </w:rPr>
        <w:t>e</w:t>
      </w:r>
      <w:r w:rsidRPr="00904A32">
        <w:rPr>
          <w:rFonts w:cstheme="majorHAnsi"/>
          <w:sz w:val="22"/>
          <w:szCs w:val="22"/>
          <w:lang w:val="fr-CA"/>
        </w:rPr>
        <w:t xml:space="preserve"> par une partie ou un témoin. L'enquêteur s'assurera que tout accommodement particulier sollicité par un</w:t>
      </w:r>
      <w:r w:rsidR="00546656" w:rsidRPr="00904A32">
        <w:rPr>
          <w:rFonts w:cstheme="majorHAnsi"/>
          <w:sz w:val="22"/>
          <w:szCs w:val="22"/>
          <w:lang w:val="fr-CA"/>
        </w:rPr>
        <w:t>e</w:t>
      </w:r>
      <w:r w:rsidRPr="00904A32">
        <w:rPr>
          <w:rFonts w:cstheme="majorHAnsi"/>
          <w:sz w:val="22"/>
          <w:szCs w:val="22"/>
          <w:lang w:val="fr-CA"/>
        </w:rPr>
        <w:t xml:space="preserve"> parti</w:t>
      </w:r>
      <w:r w:rsidR="00546656" w:rsidRPr="00904A32">
        <w:rPr>
          <w:rFonts w:cstheme="majorHAnsi"/>
          <w:sz w:val="22"/>
          <w:szCs w:val="22"/>
          <w:lang w:val="fr-CA"/>
        </w:rPr>
        <w:t>e</w:t>
      </w:r>
      <w:r w:rsidRPr="00904A32">
        <w:rPr>
          <w:rFonts w:cstheme="majorHAnsi"/>
          <w:sz w:val="22"/>
          <w:szCs w:val="22"/>
          <w:lang w:val="fr-CA"/>
        </w:rPr>
        <w:t xml:space="preserve"> ou un témoin </w:t>
      </w:r>
      <w:r w:rsidR="00546656" w:rsidRPr="00904A32">
        <w:rPr>
          <w:rFonts w:cstheme="majorHAnsi"/>
          <w:sz w:val="22"/>
          <w:szCs w:val="22"/>
          <w:lang w:val="fr-CA"/>
        </w:rPr>
        <w:t>pour l'entrevue sera arrangé.</w:t>
      </w:r>
    </w:p>
    <w:p w14:paraId="7F9EC445" w14:textId="1584B452" w:rsidR="001146F0" w:rsidRPr="00904A32" w:rsidRDefault="00091998" w:rsidP="001146F0">
      <w:pPr>
        <w:pStyle w:val="TMGenL1"/>
        <w:rPr>
          <w:rFonts w:cstheme="majorHAnsi"/>
          <w:sz w:val="22"/>
          <w:szCs w:val="22"/>
          <w:lang w:val="fr-CA"/>
        </w:rPr>
      </w:pPr>
      <w:r w:rsidRPr="00904A32">
        <w:rPr>
          <w:rFonts w:cstheme="majorHAnsi"/>
          <w:sz w:val="22"/>
          <w:szCs w:val="22"/>
          <w:lang w:val="fr-CA"/>
        </w:rPr>
        <w:t>L'enquêteur mettra en place les protocoles nécessaires pour garantir que le dossier d'enquête sera conservé dans un endroit sûr, que ce soit physiquement et/ou électroniquement</w:t>
      </w:r>
      <w:r w:rsidR="00B718D0" w:rsidRPr="00904A32">
        <w:rPr>
          <w:rFonts w:cstheme="majorHAnsi"/>
          <w:sz w:val="22"/>
          <w:szCs w:val="22"/>
          <w:lang w:val="fr-CA"/>
        </w:rPr>
        <w:t> </w:t>
      </w:r>
      <w:r w:rsidRPr="00904A32">
        <w:rPr>
          <w:rFonts w:cstheme="majorHAnsi"/>
          <w:sz w:val="22"/>
          <w:szCs w:val="22"/>
          <w:lang w:val="fr-CA"/>
        </w:rPr>
        <w:t>;</w:t>
      </w:r>
    </w:p>
    <w:p w14:paraId="11DB8091" w14:textId="288FB0E7" w:rsidR="00EA48DD" w:rsidRPr="00904A32" w:rsidRDefault="00091998" w:rsidP="001146F0">
      <w:pPr>
        <w:pStyle w:val="TMGenL1"/>
        <w:rPr>
          <w:rFonts w:cstheme="majorHAnsi"/>
          <w:sz w:val="22"/>
          <w:szCs w:val="22"/>
          <w:lang w:val="fr-CA"/>
        </w:rPr>
      </w:pPr>
      <w:r w:rsidRPr="00904A32">
        <w:rPr>
          <w:rFonts w:cstheme="majorHAnsi"/>
          <w:sz w:val="22"/>
          <w:szCs w:val="22"/>
          <w:lang w:val="fr-CA"/>
        </w:rPr>
        <w:t>L'enquêteur documentera la planification de l'enqu</w:t>
      </w:r>
      <w:r w:rsidR="001C3EC3" w:rsidRPr="00904A32">
        <w:rPr>
          <w:rFonts w:cstheme="majorHAnsi"/>
          <w:sz w:val="22"/>
          <w:szCs w:val="22"/>
          <w:lang w:val="fr-CA"/>
        </w:rPr>
        <w:t>ête en utilisant le formulaire de p</w:t>
      </w:r>
      <w:r w:rsidRPr="00904A32">
        <w:rPr>
          <w:rFonts w:cstheme="majorHAnsi"/>
          <w:sz w:val="22"/>
          <w:szCs w:val="22"/>
          <w:lang w:val="fr-CA"/>
        </w:rPr>
        <w:t xml:space="preserve">lanification de l'enquête.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7943"/>
      </w:tblGrid>
      <w:tr w:rsidR="00F850D0" w:rsidRPr="00904A32" w14:paraId="3C65FA87" w14:textId="77777777" w:rsidTr="00F850D0">
        <w:tc>
          <w:tcPr>
            <w:tcW w:w="1633" w:type="dxa"/>
          </w:tcPr>
          <w:p w14:paraId="5CF2CC14" w14:textId="491FB104" w:rsidR="00F850D0" w:rsidRPr="00D729D8" w:rsidRDefault="00F850D0" w:rsidP="00E33A45">
            <w:pPr>
              <w:rPr>
                <w:rFonts w:ascii="Verdana" w:hAnsi="Verdana"/>
                <w:color w:val="0070C0"/>
                <w:sz w:val="22"/>
              </w:rPr>
            </w:pPr>
            <w:proofErr w:type="spellStart"/>
            <w:r>
              <w:rPr>
                <w:rFonts w:ascii="Verdana" w:hAnsi="Verdana"/>
                <w:color w:val="0070C0"/>
                <w:sz w:val="22"/>
              </w:rPr>
              <w:t>Références</w:t>
            </w:r>
            <w:proofErr w:type="spellEnd"/>
            <w:r>
              <w:rPr>
                <w:rFonts w:ascii="Verdana" w:hAnsi="Verdana"/>
                <w:color w:val="0070C0"/>
                <w:sz w:val="22"/>
              </w:rPr>
              <w:t> :</w:t>
            </w:r>
          </w:p>
        </w:tc>
        <w:tc>
          <w:tcPr>
            <w:tcW w:w="7943" w:type="dxa"/>
          </w:tcPr>
          <w:p w14:paraId="5FD6CA7B" w14:textId="77777777" w:rsidR="00F850D0" w:rsidRPr="00904A32" w:rsidRDefault="00F850D0" w:rsidP="00E33A45">
            <w:pPr>
              <w:rPr>
                <w:rFonts w:ascii="Verdana" w:hAnsi="Verdana"/>
                <w:color w:val="0070C0"/>
                <w:sz w:val="22"/>
                <w:lang w:val="fr-CA"/>
              </w:rPr>
            </w:pPr>
            <w:r w:rsidRPr="00904A32">
              <w:rPr>
                <w:rFonts w:ascii="Verdana" w:hAnsi="Verdana"/>
                <w:color w:val="0070C0"/>
                <w:sz w:val="22"/>
                <w:lang w:val="fr-CA"/>
              </w:rPr>
              <w:t>Exemple de plan d'enquête, formulaire 11</w:t>
            </w:r>
          </w:p>
          <w:p w14:paraId="698C09EF" w14:textId="77777777" w:rsidR="00F850D0" w:rsidRPr="00904A32" w:rsidRDefault="00F850D0" w:rsidP="00E33A45">
            <w:pPr>
              <w:rPr>
                <w:rFonts w:ascii="Verdana" w:hAnsi="Verdana"/>
                <w:color w:val="0070C0"/>
                <w:sz w:val="22"/>
                <w:lang w:val="fr-CA"/>
              </w:rPr>
            </w:pPr>
          </w:p>
        </w:tc>
      </w:tr>
      <w:tr w:rsidR="00F850D0" w:rsidRPr="00904A32" w14:paraId="06BF2753" w14:textId="77777777" w:rsidTr="00F850D0">
        <w:tc>
          <w:tcPr>
            <w:tcW w:w="1633" w:type="dxa"/>
          </w:tcPr>
          <w:p w14:paraId="2F48EBAE" w14:textId="77777777" w:rsidR="00F850D0" w:rsidRPr="00904A32" w:rsidRDefault="00F850D0" w:rsidP="00E33A45">
            <w:pPr>
              <w:rPr>
                <w:rFonts w:ascii="Verdana" w:hAnsi="Verdana"/>
                <w:color w:val="0070C0"/>
                <w:sz w:val="22"/>
                <w:lang w:val="fr-CA"/>
              </w:rPr>
            </w:pPr>
          </w:p>
        </w:tc>
        <w:tc>
          <w:tcPr>
            <w:tcW w:w="7943" w:type="dxa"/>
          </w:tcPr>
          <w:p w14:paraId="4E22BD54" w14:textId="77777777" w:rsidR="00F850D0" w:rsidRPr="00904A32" w:rsidRDefault="00F850D0" w:rsidP="00E33A45">
            <w:pPr>
              <w:rPr>
                <w:rFonts w:ascii="Verdana" w:hAnsi="Verdana"/>
                <w:color w:val="0070C0"/>
                <w:sz w:val="22"/>
                <w:lang w:val="fr-CA"/>
              </w:rPr>
            </w:pPr>
            <w:r w:rsidRPr="00904A32">
              <w:rPr>
                <w:rFonts w:ascii="Verdana" w:hAnsi="Verdana"/>
                <w:color w:val="0070C0"/>
                <w:sz w:val="22"/>
                <w:lang w:val="fr-CA"/>
              </w:rPr>
              <w:t>Exemple de lettre d'introduction à adresser au plaignant, formulaire 12</w:t>
            </w:r>
          </w:p>
          <w:p w14:paraId="1B863580" w14:textId="77777777" w:rsidR="00F850D0" w:rsidRPr="00904A32" w:rsidRDefault="00F850D0" w:rsidP="00E33A45">
            <w:pPr>
              <w:rPr>
                <w:rFonts w:ascii="Verdana" w:hAnsi="Verdana"/>
                <w:color w:val="0070C0"/>
                <w:sz w:val="22"/>
                <w:lang w:val="fr-CA"/>
              </w:rPr>
            </w:pPr>
          </w:p>
        </w:tc>
      </w:tr>
      <w:tr w:rsidR="00F850D0" w:rsidRPr="00904A32" w14:paraId="16946652" w14:textId="77777777" w:rsidTr="00F850D0">
        <w:tc>
          <w:tcPr>
            <w:tcW w:w="1633" w:type="dxa"/>
          </w:tcPr>
          <w:p w14:paraId="6E545AFD" w14:textId="77777777" w:rsidR="00F850D0" w:rsidRPr="00904A32" w:rsidRDefault="00F850D0" w:rsidP="00E33A45">
            <w:pPr>
              <w:rPr>
                <w:rFonts w:ascii="Verdana" w:hAnsi="Verdana"/>
                <w:color w:val="0070C0"/>
                <w:sz w:val="22"/>
                <w:lang w:val="fr-CA"/>
              </w:rPr>
            </w:pPr>
          </w:p>
        </w:tc>
        <w:tc>
          <w:tcPr>
            <w:tcW w:w="7943" w:type="dxa"/>
          </w:tcPr>
          <w:p w14:paraId="25C627E5" w14:textId="77777777" w:rsidR="00F850D0" w:rsidRPr="00904A32" w:rsidRDefault="00F850D0" w:rsidP="00E33A45">
            <w:pPr>
              <w:rPr>
                <w:rFonts w:ascii="Verdana" w:hAnsi="Verdana"/>
                <w:color w:val="0070C0"/>
                <w:sz w:val="22"/>
                <w:lang w:val="fr-CA"/>
              </w:rPr>
            </w:pPr>
            <w:r w:rsidRPr="00904A32">
              <w:rPr>
                <w:rFonts w:ascii="Verdana" w:hAnsi="Verdana"/>
                <w:color w:val="0070C0"/>
                <w:sz w:val="22"/>
                <w:lang w:val="fr-CA"/>
              </w:rPr>
              <w:t>Exemple de lettre d'introduction à adresser au défendeur, formulaire 13</w:t>
            </w:r>
          </w:p>
          <w:p w14:paraId="353392D3" w14:textId="77777777" w:rsidR="00F850D0" w:rsidRPr="00904A32" w:rsidRDefault="00F850D0" w:rsidP="00E33A45">
            <w:pPr>
              <w:rPr>
                <w:rFonts w:ascii="Verdana" w:hAnsi="Verdana"/>
                <w:color w:val="0070C0"/>
                <w:sz w:val="22"/>
                <w:lang w:val="fr-CA"/>
              </w:rPr>
            </w:pPr>
          </w:p>
        </w:tc>
      </w:tr>
      <w:tr w:rsidR="00F850D0" w:rsidRPr="00904A32" w14:paraId="6ACA6BD2" w14:textId="77777777" w:rsidTr="00F850D0">
        <w:tc>
          <w:tcPr>
            <w:tcW w:w="1633" w:type="dxa"/>
          </w:tcPr>
          <w:p w14:paraId="56261E12" w14:textId="77777777" w:rsidR="00F850D0" w:rsidRPr="00904A32" w:rsidRDefault="00F850D0" w:rsidP="00E33A45">
            <w:pPr>
              <w:rPr>
                <w:rFonts w:ascii="Verdana" w:hAnsi="Verdana"/>
                <w:color w:val="0070C0"/>
                <w:sz w:val="22"/>
                <w:lang w:val="fr-CA"/>
              </w:rPr>
            </w:pPr>
          </w:p>
        </w:tc>
        <w:tc>
          <w:tcPr>
            <w:tcW w:w="7943" w:type="dxa"/>
          </w:tcPr>
          <w:p w14:paraId="3DF530A4" w14:textId="77777777" w:rsidR="00F850D0" w:rsidRPr="00904A32" w:rsidRDefault="00F850D0" w:rsidP="00E33A45">
            <w:pPr>
              <w:rPr>
                <w:rFonts w:ascii="Verdana" w:hAnsi="Verdana"/>
                <w:color w:val="0070C0"/>
                <w:sz w:val="22"/>
                <w:lang w:val="fr-CA"/>
              </w:rPr>
            </w:pPr>
            <w:r w:rsidRPr="00904A32">
              <w:rPr>
                <w:rFonts w:ascii="Verdana" w:hAnsi="Verdana"/>
                <w:color w:val="0070C0"/>
                <w:sz w:val="22"/>
                <w:lang w:val="fr-CA"/>
              </w:rPr>
              <w:t>Exemple de lettre d'introduction à adresser au témoin, formulaire 14</w:t>
            </w:r>
          </w:p>
          <w:p w14:paraId="0F5C80EB" w14:textId="77777777" w:rsidR="00F850D0" w:rsidRPr="00904A32" w:rsidRDefault="00F850D0" w:rsidP="00E33A45">
            <w:pPr>
              <w:rPr>
                <w:rFonts w:ascii="Verdana" w:hAnsi="Verdana"/>
                <w:color w:val="0070C0"/>
                <w:sz w:val="22"/>
                <w:lang w:val="fr-CA"/>
              </w:rPr>
            </w:pPr>
          </w:p>
        </w:tc>
      </w:tr>
    </w:tbl>
    <w:p w14:paraId="59F556F9" w14:textId="77777777" w:rsidR="00F850D0" w:rsidRPr="00904A32" w:rsidRDefault="00F850D0" w:rsidP="00F850D0">
      <w:pPr>
        <w:pStyle w:val="TMGenL1"/>
        <w:numPr>
          <w:ilvl w:val="0"/>
          <w:numId w:val="0"/>
        </w:numPr>
        <w:ind w:left="720"/>
        <w:rPr>
          <w:rFonts w:cstheme="majorHAnsi"/>
          <w:sz w:val="22"/>
          <w:szCs w:val="22"/>
          <w:lang w:val="fr-CA"/>
        </w:rPr>
      </w:pPr>
    </w:p>
    <w:sectPr w:rsidR="00F850D0" w:rsidRPr="00904A32" w:rsidSect="00A574B7">
      <w:headerReference w:type="default" r:id="rId10"/>
      <w:pgSz w:w="12240" w:h="15840"/>
      <w:pgMar w:top="1440" w:right="1440" w:bottom="1440" w:left="1440" w:header="706" w:footer="706" w:gutter="0"/>
      <w:pgNumType w:start="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E1C72" w14:textId="77777777" w:rsidR="00A6718D" w:rsidRDefault="00A6718D" w:rsidP="00957B7C">
      <w:r>
        <w:separator/>
      </w:r>
    </w:p>
  </w:endnote>
  <w:endnote w:type="continuationSeparator" w:id="0">
    <w:p w14:paraId="726788C2" w14:textId="77777777" w:rsidR="00A6718D" w:rsidRDefault="00A6718D"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D5C2B" w14:textId="77777777" w:rsidR="00A6718D" w:rsidRDefault="00A6718D" w:rsidP="00957B7C">
      <w:r>
        <w:separator/>
      </w:r>
    </w:p>
  </w:footnote>
  <w:footnote w:type="continuationSeparator" w:id="0">
    <w:p w14:paraId="6B206740" w14:textId="77777777" w:rsidR="00A6718D" w:rsidRDefault="00A6718D"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194C" w14:textId="4D62F9AC" w:rsidR="00B718D0" w:rsidRPr="008419D0" w:rsidRDefault="00B718D0" w:rsidP="00373038">
    <w:pPr>
      <w:pStyle w:val="Header"/>
      <w:jc w:val="right"/>
      <w:rPr>
        <w:b/>
        <w:color w:val="0070C0"/>
        <w:sz w:val="22"/>
      </w:rPr>
    </w:pPr>
    <w:proofErr w:type="spellStart"/>
    <w:r w:rsidRPr="008419D0">
      <w:rPr>
        <w:b/>
        <w:color w:val="0070C0"/>
        <w:sz w:val="22"/>
      </w:rPr>
      <w:t>Formulaire</w:t>
    </w:r>
    <w:proofErr w:type="spellEnd"/>
    <w:r w:rsidRPr="008419D0">
      <w:rPr>
        <w:b/>
        <w:color w:val="0070C0"/>
        <w:sz w:val="22"/>
      </w:rPr>
      <w:t xml:space="preserve"> 10 – C – </w:t>
    </w:r>
    <w:proofErr w:type="spellStart"/>
    <w:r w:rsidRPr="008419D0">
      <w:rPr>
        <w:b/>
        <w:color w:val="0070C0"/>
        <w:sz w:val="22"/>
      </w:rPr>
      <w:t>Planification</w:t>
    </w:r>
    <w:proofErr w:type="spellEnd"/>
    <w:r w:rsidRPr="008419D0">
      <w:rPr>
        <w:b/>
        <w:color w:val="0070C0"/>
        <w:sz w:val="22"/>
      </w:rPr>
      <w:t xml:space="preserve"> de </w:t>
    </w:r>
    <w:proofErr w:type="spellStart"/>
    <w:r w:rsidRPr="008419D0">
      <w:rPr>
        <w:b/>
        <w:color w:val="0070C0"/>
        <w:sz w:val="22"/>
      </w:rPr>
      <w:t>l'enquête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F64"/>
    <w:multiLevelType w:val="hybridMultilevel"/>
    <w:tmpl w:val="D66E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265CD"/>
    <w:multiLevelType w:val="hybridMultilevel"/>
    <w:tmpl w:val="E70A244A"/>
    <w:name w:val="Unknown B-43097696B-X"/>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3">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9F87D44"/>
    <w:multiLevelType w:val="multilevel"/>
    <w:tmpl w:val="DAFC8D7A"/>
    <w:name w:val="TMGen-412056039-F"/>
    <w:styleLink w:val="TMGenList"/>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 w:ilvl="1">
      <w:start w:val="1"/>
      <w:numFmt w:val="lowerLetter"/>
      <w:pStyle w:val="TMGenL2"/>
      <w:lvlText w:val="(%2)"/>
      <w:lvlJc w:val="left"/>
      <w:pPr>
        <w:tabs>
          <w:tab w:val="num" w:pos="1440"/>
        </w:tabs>
        <w:ind w:left="1440" w:hanging="720"/>
      </w:pPr>
      <w:rPr>
        <w:rFonts w:ascii="Verdana" w:hAnsi="Verdana" w:cs="Times New Roman"/>
        <w:sz w:val="24"/>
      </w:rPr>
    </w:lvl>
    <w:lvl w:ilvl="2">
      <w:start w:val="1"/>
      <w:numFmt w:val="lowerRoman"/>
      <w:pStyle w:val="TMGenL3"/>
      <w:lvlText w:val="(%3)"/>
      <w:lvlJc w:val="right"/>
      <w:pPr>
        <w:tabs>
          <w:tab w:val="num" w:pos="2160"/>
        </w:tabs>
        <w:ind w:left="2160" w:hanging="432"/>
      </w:pPr>
      <w:rPr>
        <w:rFonts w:ascii="Verdana" w:hAnsi="Verdana" w:cs="Times New Roman"/>
        <w:sz w:val="24"/>
      </w:rPr>
    </w:lvl>
    <w:lvl w:ilvl="3">
      <w:start w:val="1"/>
      <w:numFmt w:val="upperLetter"/>
      <w:pStyle w:val="TMGenL4"/>
      <w:lvlText w:val="(%4)"/>
      <w:lvlJc w:val="left"/>
      <w:pPr>
        <w:tabs>
          <w:tab w:val="num" w:pos="2880"/>
        </w:tabs>
        <w:ind w:left="2880" w:hanging="720"/>
      </w:pPr>
      <w:rPr>
        <w:rFonts w:ascii="Verdana" w:hAnsi="Verdana" w:cs="Times New Roman"/>
        <w:sz w:val="24"/>
      </w:rPr>
    </w:lvl>
    <w:lvl w:ilvl="4">
      <w:start w:val="1"/>
      <w:numFmt w:val="upperRoman"/>
      <w:pStyle w:val="TMGenL5"/>
      <w:lvlText w:val="(%5)"/>
      <w:lvlJc w:val="right"/>
      <w:pPr>
        <w:tabs>
          <w:tab w:val="num" w:pos="3600"/>
        </w:tabs>
        <w:ind w:left="3600" w:hanging="432"/>
      </w:pPr>
      <w:rPr>
        <w:rFonts w:ascii="Verdana" w:hAnsi="Verdana" w:cs="Times New Roman"/>
        <w:sz w:val="24"/>
      </w:rPr>
    </w:lvl>
    <w:lvl w:ilvl="5">
      <w:start w:val="1"/>
      <w:numFmt w:val="decimal"/>
      <w:pStyle w:val="TMGenL6"/>
      <w:lvlText w:val="(%6)"/>
      <w:lvlJc w:val="left"/>
      <w:pPr>
        <w:tabs>
          <w:tab w:val="num" w:pos="4320"/>
        </w:tabs>
        <w:ind w:left="4320" w:hanging="720"/>
      </w:pPr>
      <w:rPr>
        <w:rFonts w:ascii="Verdana" w:hAnsi="Verdana" w:cs="Times New Roman"/>
        <w:sz w:val="24"/>
      </w:rPr>
    </w:lvl>
    <w:lvl w:ilvl="6">
      <w:start w:val="1"/>
      <w:numFmt w:val="lowerLetter"/>
      <w:pStyle w:val="TMGenL7"/>
      <w:lvlText w:val="%7)"/>
      <w:lvlJc w:val="left"/>
      <w:pPr>
        <w:tabs>
          <w:tab w:val="num" w:pos="5040"/>
        </w:tabs>
        <w:ind w:left="5040" w:hanging="720"/>
      </w:pPr>
      <w:rPr>
        <w:rFonts w:ascii="Verdana" w:hAnsi="Verdana" w:cs="Times New Roman"/>
        <w:sz w:val="24"/>
      </w:rPr>
    </w:lvl>
    <w:lvl w:ilvl="7">
      <w:start w:val="1"/>
      <w:numFmt w:val="lowerRoman"/>
      <w:pStyle w:val="TMGenL8"/>
      <w:lvlText w:val="%8)"/>
      <w:lvlJc w:val="right"/>
      <w:pPr>
        <w:tabs>
          <w:tab w:val="num" w:pos="5760"/>
        </w:tabs>
        <w:ind w:left="5760" w:hanging="432"/>
      </w:pPr>
      <w:rPr>
        <w:rFonts w:ascii="Verdana" w:hAnsi="Verdana" w:cs="Times New Roman"/>
        <w:sz w:val="24"/>
      </w:rPr>
    </w:lvl>
    <w:lvl w:ilvl="8">
      <w:start w:val="1"/>
      <w:numFmt w:val="decimal"/>
      <w:pStyle w:val="TMGenL9"/>
      <w:lvlText w:val="%9)"/>
      <w:lvlJc w:val="left"/>
      <w:pPr>
        <w:tabs>
          <w:tab w:val="num" w:pos="6480"/>
        </w:tabs>
        <w:ind w:left="6480" w:hanging="720"/>
      </w:pPr>
      <w:rPr>
        <w:rFonts w:ascii="Verdana" w:hAnsi="Verdana" w:cs="Times New Roman"/>
        <w:sz w:val="24"/>
      </w:rPr>
    </w:lvl>
  </w:abstractNum>
  <w:abstractNum w:abstractNumId="5">
    <w:nsid w:val="4E554CF7"/>
    <w:multiLevelType w:val="hybridMultilevel"/>
    <w:tmpl w:val="ACB41BDA"/>
    <w:name w:val="Unknown B-43097683B-X"/>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19B3C5F"/>
    <w:multiLevelType w:val="hybridMultilevel"/>
    <w:tmpl w:val="9E9C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36505F"/>
    <w:multiLevelType w:val="hybridMultilevel"/>
    <w:tmpl w:val="D95AEE4E"/>
    <w:name w:val="Unknown A-43097696A-X"/>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2"/>
  </w:num>
  <w:num w:numId="3">
    <w:abstractNumId w:val="3"/>
  </w:num>
  <w:num w:numId="4">
    <w:abstractNumId w:val="4"/>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num>
  <w:num w:numId="5">
    <w:abstractNumId w:val="4"/>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lvl w:ilvl="8">
        <w:start w:val="1"/>
        <w:numFmt w:val="decimal"/>
        <w:pStyle w:val="TMGenL9"/>
        <w:lvlText w:val="%9)"/>
        <w:lvlJc w:val="left"/>
        <w:pPr>
          <w:tabs>
            <w:tab w:val="num" w:pos="6480"/>
          </w:tabs>
          <w:ind w:left="6480" w:hanging="720"/>
        </w:pPr>
        <w:rPr>
          <w:rFonts w:ascii="Verdana" w:hAnsi="Verdana" w:cs="Times New Roman"/>
          <w:sz w:val="24"/>
        </w:rPr>
      </w:lvl>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2"/>
        </w:rPr>
      </w:lvl>
    </w:lvlOverride>
    <w:lvlOverride w:ilvl="2">
      <w:startOverride w:val="1"/>
      <w:lvl w:ilvl="2">
        <w:start w:val="1"/>
        <w:numFmt w:val="decimal"/>
        <w:pStyle w:val="TMGenL3"/>
        <w:lvlText w:val=""/>
        <w:lvlJc w:val="left"/>
      </w:lvl>
    </w:lvlOverride>
  </w:num>
  <w:num w:numId="8">
    <w:abstractNumId w:val="5"/>
  </w:num>
  <w:num w:numId="9">
    <w:abstractNumId w:val="4"/>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startOverride w:val="1"/>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startOverride w:val="1"/>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startOverride w:val="1"/>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startOverride w:val="1"/>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startOverride w:val="1"/>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startOverride w:val="1"/>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startOverride w:val="1"/>
      <w:lvl w:ilvl="8">
        <w:start w:val="1"/>
        <w:numFmt w:val="decimal"/>
        <w:pStyle w:val="TMGenL9"/>
        <w:lvlText w:val="%9)"/>
        <w:lvlJc w:val="left"/>
        <w:pPr>
          <w:tabs>
            <w:tab w:val="num" w:pos="6480"/>
          </w:tabs>
          <w:ind w:left="6480" w:hanging="720"/>
        </w:pPr>
        <w:rPr>
          <w:rFonts w:ascii="Verdana" w:hAnsi="Verdana" w:cs="Times New Roman"/>
          <w:sz w:val="24"/>
        </w:rPr>
      </w:lvl>
    </w:lvlOverride>
  </w:num>
  <w:num w:numId="10">
    <w:abstractNumId w:val="4"/>
  </w:num>
  <w:num w:numId="11">
    <w:abstractNumId w:val="1"/>
  </w:num>
  <w:num w:numId="12">
    <w:abstractNumId w:val="8"/>
  </w:num>
  <w:num w:numId="13">
    <w:abstractNumId w:val="6"/>
  </w:num>
  <w:num w:numId="14">
    <w:abstractNumId w:val="0"/>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276B0"/>
    <w:rsid w:val="00031432"/>
    <w:rsid w:val="000504B9"/>
    <w:rsid w:val="00055016"/>
    <w:rsid w:val="00064046"/>
    <w:rsid w:val="000754C6"/>
    <w:rsid w:val="00086D95"/>
    <w:rsid w:val="00091998"/>
    <w:rsid w:val="000B1CF7"/>
    <w:rsid w:val="000B5682"/>
    <w:rsid w:val="000C1172"/>
    <w:rsid w:val="000D2F1C"/>
    <w:rsid w:val="000E2993"/>
    <w:rsid w:val="000E78C6"/>
    <w:rsid w:val="000F6179"/>
    <w:rsid w:val="000F6901"/>
    <w:rsid w:val="0011187F"/>
    <w:rsid w:val="001146F0"/>
    <w:rsid w:val="001150DA"/>
    <w:rsid w:val="00117C11"/>
    <w:rsid w:val="00160292"/>
    <w:rsid w:val="00180EBF"/>
    <w:rsid w:val="001843AE"/>
    <w:rsid w:val="001C3EC3"/>
    <w:rsid w:val="001C5482"/>
    <w:rsid w:val="001D1675"/>
    <w:rsid w:val="001F374A"/>
    <w:rsid w:val="00200BD6"/>
    <w:rsid w:val="002014A6"/>
    <w:rsid w:val="00226F58"/>
    <w:rsid w:val="0024225C"/>
    <w:rsid w:val="0025166B"/>
    <w:rsid w:val="00254642"/>
    <w:rsid w:val="00270D7D"/>
    <w:rsid w:val="00270F15"/>
    <w:rsid w:val="002C14DD"/>
    <w:rsid w:val="002C165F"/>
    <w:rsid w:val="002E2158"/>
    <w:rsid w:val="0031251A"/>
    <w:rsid w:val="00317B2F"/>
    <w:rsid w:val="00330E6E"/>
    <w:rsid w:val="003328E3"/>
    <w:rsid w:val="00346E26"/>
    <w:rsid w:val="0035363E"/>
    <w:rsid w:val="003614D1"/>
    <w:rsid w:val="0037085F"/>
    <w:rsid w:val="00373038"/>
    <w:rsid w:val="0037703F"/>
    <w:rsid w:val="0038125E"/>
    <w:rsid w:val="00383765"/>
    <w:rsid w:val="003845F0"/>
    <w:rsid w:val="00387D67"/>
    <w:rsid w:val="003C6A21"/>
    <w:rsid w:val="003D7249"/>
    <w:rsid w:val="004056F9"/>
    <w:rsid w:val="004059C7"/>
    <w:rsid w:val="00424B51"/>
    <w:rsid w:val="00426BE8"/>
    <w:rsid w:val="00444558"/>
    <w:rsid w:val="00444ABE"/>
    <w:rsid w:val="004A355D"/>
    <w:rsid w:val="004C1BA1"/>
    <w:rsid w:val="004E4038"/>
    <w:rsid w:val="004E7F6A"/>
    <w:rsid w:val="00520223"/>
    <w:rsid w:val="00530186"/>
    <w:rsid w:val="00530F01"/>
    <w:rsid w:val="00546656"/>
    <w:rsid w:val="0055173C"/>
    <w:rsid w:val="00573172"/>
    <w:rsid w:val="0058400C"/>
    <w:rsid w:val="00595DE5"/>
    <w:rsid w:val="005A0C3B"/>
    <w:rsid w:val="005B2EBB"/>
    <w:rsid w:val="005B467D"/>
    <w:rsid w:val="005C0B58"/>
    <w:rsid w:val="005D769F"/>
    <w:rsid w:val="00600E33"/>
    <w:rsid w:val="00626C0F"/>
    <w:rsid w:val="006303C1"/>
    <w:rsid w:val="00633A3C"/>
    <w:rsid w:val="00637BCD"/>
    <w:rsid w:val="00660CE1"/>
    <w:rsid w:val="00664491"/>
    <w:rsid w:val="00667691"/>
    <w:rsid w:val="00671485"/>
    <w:rsid w:val="00674684"/>
    <w:rsid w:val="00691F38"/>
    <w:rsid w:val="00692B75"/>
    <w:rsid w:val="006B32C1"/>
    <w:rsid w:val="006B49B4"/>
    <w:rsid w:val="006C2FFA"/>
    <w:rsid w:val="006C7505"/>
    <w:rsid w:val="006F27EB"/>
    <w:rsid w:val="00702BBA"/>
    <w:rsid w:val="00710E77"/>
    <w:rsid w:val="00720709"/>
    <w:rsid w:val="007363BB"/>
    <w:rsid w:val="0074135F"/>
    <w:rsid w:val="007469D6"/>
    <w:rsid w:val="0075027E"/>
    <w:rsid w:val="00754487"/>
    <w:rsid w:val="00757E4B"/>
    <w:rsid w:val="007706FD"/>
    <w:rsid w:val="00775BFF"/>
    <w:rsid w:val="00780144"/>
    <w:rsid w:val="00786BAF"/>
    <w:rsid w:val="007B0038"/>
    <w:rsid w:val="007E4E1D"/>
    <w:rsid w:val="00820980"/>
    <w:rsid w:val="008247E9"/>
    <w:rsid w:val="00840C3B"/>
    <w:rsid w:val="008419D0"/>
    <w:rsid w:val="0084772E"/>
    <w:rsid w:val="008577C6"/>
    <w:rsid w:val="00875443"/>
    <w:rsid w:val="008841DD"/>
    <w:rsid w:val="00884729"/>
    <w:rsid w:val="008926AA"/>
    <w:rsid w:val="008B4007"/>
    <w:rsid w:val="008C5373"/>
    <w:rsid w:val="008D7D15"/>
    <w:rsid w:val="008E0E45"/>
    <w:rsid w:val="008E5C76"/>
    <w:rsid w:val="008E683C"/>
    <w:rsid w:val="008F3D43"/>
    <w:rsid w:val="00904A32"/>
    <w:rsid w:val="0095257B"/>
    <w:rsid w:val="00954E19"/>
    <w:rsid w:val="00957B7C"/>
    <w:rsid w:val="009761C9"/>
    <w:rsid w:val="00986CF3"/>
    <w:rsid w:val="009B55F6"/>
    <w:rsid w:val="009D58A1"/>
    <w:rsid w:val="009F26B8"/>
    <w:rsid w:val="00A264E3"/>
    <w:rsid w:val="00A36693"/>
    <w:rsid w:val="00A45D52"/>
    <w:rsid w:val="00A5217C"/>
    <w:rsid w:val="00A574B7"/>
    <w:rsid w:val="00A634B3"/>
    <w:rsid w:val="00A667D9"/>
    <w:rsid w:val="00A6718D"/>
    <w:rsid w:val="00A954C6"/>
    <w:rsid w:val="00AA3A56"/>
    <w:rsid w:val="00AD0A8A"/>
    <w:rsid w:val="00AD4376"/>
    <w:rsid w:val="00AF0A91"/>
    <w:rsid w:val="00B243AA"/>
    <w:rsid w:val="00B24D41"/>
    <w:rsid w:val="00B61227"/>
    <w:rsid w:val="00B65711"/>
    <w:rsid w:val="00B67BE9"/>
    <w:rsid w:val="00B718D0"/>
    <w:rsid w:val="00B7759D"/>
    <w:rsid w:val="00B86B15"/>
    <w:rsid w:val="00B97471"/>
    <w:rsid w:val="00BA5414"/>
    <w:rsid w:val="00BC2E3C"/>
    <w:rsid w:val="00BC6622"/>
    <w:rsid w:val="00BD318C"/>
    <w:rsid w:val="00BE0A9A"/>
    <w:rsid w:val="00C052BE"/>
    <w:rsid w:val="00C1415B"/>
    <w:rsid w:val="00C218CA"/>
    <w:rsid w:val="00C25DEC"/>
    <w:rsid w:val="00C26BD8"/>
    <w:rsid w:val="00C26E3B"/>
    <w:rsid w:val="00C3440B"/>
    <w:rsid w:val="00C40912"/>
    <w:rsid w:val="00C5151F"/>
    <w:rsid w:val="00C557D6"/>
    <w:rsid w:val="00C57528"/>
    <w:rsid w:val="00C64AD3"/>
    <w:rsid w:val="00CB009A"/>
    <w:rsid w:val="00CB6120"/>
    <w:rsid w:val="00CB74A5"/>
    <w:rsid w:val="00CC1D60"/>
    <w:rsid w:val="00CD605A"/>
    <w:rsid w:val="00CD7DBB"/>
    <w:rsid w:val="00CE61C7"/>
    <w:rsid w:val="00CF396F"/>
    <w:rsid w:val="00D14AE4"/>
    <w:rsid w:val="00D274CD"/>
    <w:rsid w:val="00D322AF"/>
    <w:rsid w:val="00D4632E"/>
    <w:rsid w:val="00D471BC"/>
    <w:rsid w:val="00D47E39"/>
    <w:rsid w:val="00D64699"/>
    <w:rsid w:val="00D77926"/>
    <w:rsid w:val="00D9277E"/>
    <w:rsid w:val="00DA454E"/>
    <w:rsid w:val="00DA6754"/>
    <w:rsid w:val="00DC50E6"/>
    <w:rsid w:val="00DE2BC6"/>
    <w:rsid w:val="00DE6E28"/>
    <w:rsid w:val="00DF25B1"/>
    <w:rsid w:val="00E03B2D"/>
    <w:rsid w:val="00E175F8"/>
    <w:rsid w:val="00E200BE"/>
    <w:rsid w:val="00E22F45"/>
    <w:rsid w:val="00E308FF"/>
    <w:rsid w:val="00E30F93"/>
    <w:rsid w:val="00E3303A"/>
    <w:rsid w:val="00E33A45"/>
    <w:rsid w:val="00E41CEA"/>
    <w:rsid w:val="00E46E63"/>
    <w:rsid w:val="00E72190"/>
    <w:rsid w:val="00EA101F"/>
    <w:rsid w:val="00EA48DD"/>
    <w:rsid w:val="00EB0DAE"/>
    <w:rsid w:val="00EB420F"/>
    <w:rsid w:val="00EB59AF"/>
    <w:rsid w:val="00EB736E"/>
    <w:rsid w:val="00EC1EA7"/>
    <w:rsid w:val="00EC4BFE"/>
    <w:rsid w:val="00ED3DBD"/>
    <w:rsid w:val="00ED63E7"/>
    <w:rsid w:val="00EE229A"/>
    <w:rsid w:val="00EF7937"/>
    <w:rsid w:val="00F02C6E"/>
    <w:rsid w:val="00F17F42"/>
    <w:rsid w:val="00F23118"/>
    <w:rsid w:val="00F3358A"/>
    <w:rsid w:val="00F46A94"/>
    <w:rsid w:val="00F53D16"/>
    <w:rsid w:val="00F66122"/>
    <w:rsid w:val="00F80D15"/>
    <w:rsid w:val="00F850D0"/>
    <w:rsid w:val="00F8521D"/>
    <w:rsid w:val="00F85D2B"/>
    <w:rsid w:val="00FC20FB"/>
    <w:rsid w:val="00FC379D"/>
    <w:rsid w:val="00FE77F6"/>
    <w:rsid w:val="00FF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F8FB-6817-45C2-B66C-76A9DBF5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4</cp:revision>
  <dcterms:created xsi:type="dcterms:W3CDTF">2018-02-25T15:08:00Z</dcterms:created>
  <dcterms:modified xsi:type="dcterms:W3CDTF">2018-03-16T17:38:00Z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38164.0001/10787307_.1</vt:lpwstr>
  </property>
  <property fmtid="{D5CDD505-2E9C-101B-9397-08002B2CF9AE}" pid="4" name="WS_TRACKING_ID">
    <vt:lpwstr>be04cb5d-cece-4d74-be5a-b52d9f760e48</vt:lpwstr>
  </property>
</Properties>
</file>