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79449" w14:textId="41C80AF8" w:rsidR="000B1CF7" w:rsidRPr="00055016" w:rsidRDefault="00882DD6" w:rsidP="00055016">
      <w:pPr>
        <w:autoSpaceDE w:val="0"/>
        <w:autoSpaceDN w:val="0"/>
        <w:adjustRightInd w:val="0"/>
        <w:spacing w:line="276" w:lineRule="auto"/>
        <w:jc w:val="both"/>
        <w:rPr>
          <w:rFonts w:cstheme="majorHAnsi"/>
          <w:color w:val="FF0000"/>
          <w:sz w:val="22"/>
          <w:szCs w:val="22"/>
        </w:rPr>
      </w:pPr>
      <w:r>
        <w:rPr>
          <w:rFonts w:cstheme="majorHAnsi"/>
          <w:color w:val="FF0000"/>
          <w:sz w:val="22"/>
          <w:szCs w:val="22"/>
        </w:rPr>
        <w:pict w14:anchorId="178864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64.45pt;height:23.45pt" fillcolor="#0070c0">
            <v:stroke r:id="rId8" o:title=""/>
            <v:shadow color="#868686"/>
            <v:textpath style="font-family:&quot;Arial Black&quot;;v-text-kern:t" trim="t" fitpath="t" string="Add Logo"/>
          </v:shape>
        </w:pict>
      </w:r>
    </w:p>
    <w:p w14:paraId="1A718002" w14:textId="520BFC4E" w:rsidR="00373038" w:rsidRPr="00CF2086" w:rsidRDefault="008926AA" w:rsidP="009D58A1">
      <w:pPr>
        <w:autoSpaceDE w:val="0"/>
        <w:autoSpaceDN w:val="0"/>
        <w:adjustRightInd w:val="0"/>
        <w:spacing w:line="276" w:lineRule="auto"/>
        <w:ind w:left="5040"/>
        <w:rPr>
          <w:rFonts w:cstheme="majorHAnsi"/>
          <w:sz w:val="28"/>
          <w:szCs w:val="22"/>
          <w:lang w:val="fr-CA"/>
        </w:rPr>
      </w:pPr>
      <w:r w:rsidRPr="00CF2086">
        <w:rPr>
          <w:rFonts w:cstheme="majorHAnsi"/>
          <w:b/>
          <w:color w:val="0070C0"/>
          <w:sz w:val="28"/>
          <w:szCs w:val="22"/>
          <w:lang w:val="fr-CA"/>
        </w:rPr>
        <w:t>Politique et procédures d'enquête</w:t>
      </w:r>
    </w:p>
    <w:p w14:paraId="7E633467" w14:textId="009B164D" w:rsidR="000B1CF7" w:rsidRPr="00CF2086" w:rsidRDefault="000B1CF7" w:rsidP="00373038">
      <w:pPr>
        <w:autoSpaceDE w:val="0"/>
        <w:autoSpaceDN w:val="0"/>
        <w:adjustRightInd w:val="0"/>
        <w:spacing w:line="276" w:lineRule="auto"/>
        <w:ind w:left="5040"/>
        <w:jc w:val="both"/>
        <w:rPr>
          <w:rFonts w:cstheme="majorHAnsi"/>
          <w:color w:val="0070C0"/>
          <w:sz w:val="21"/>
          <w:szCs w:val="21"/>
          <w:lang w:val="fr-CA"/>
        </w:rPr>
      </w:pPr>
      <w:r w:rsidRPr="00CF2086">
        <w:rPr>
          <w:rFonts w:cstheme="majorHAnsi"/>
          <w:sz w:val="21"/>
          <w:szCs w:val="21"/>
          <w:lang w:val="fr-CA"/>
        </w:rPr>
        <w:t>Approuv</w:t>
      </w:r>
      <w:r w:rsidR="00A052B7" w:rsidRPr="00CF2086">
        <w:rPr>
          <w:rFonts w:cstheme="majorHAnsi"/>
          <w:sz w:val="21"/>
          <w:szCs w:val="21"/>
          <w:lang w:val="fr-CA"/>
        </w:rPr>
        <w:t>ées</w:t>
      </w:r>
      <w:r w:rsidRPr="00CF2086">
        <w:rPr>
          <w:rFonts w:cstheme="majorHAnsi"/>
          <w:sz w:val="21"/>
          <w:szCs w:val="21"/>
          <w:lang w:val="fr-CA"/>
        </w:rPr>
        <w:t xml:space="preserve"> le</w:t>
      </w:r>
      <w:r w:rsidRPr="00CF2086">
        <w:rPr>
          <w:rFonts w:cstheme="majorHAnsi"/>
          <w:color w:val="0070C0"/>
          <w:sz w:val="21"/>
          <w:szCs w:val="21"/>
          <w:lang w:val="fr-CA"/>
        </w:rPr>
        <w:t xml:space="preserve"> Date</w:t>
      </w:r>
    </w:p>
    <w:p w14:paraId="3EDE3C78" w14:textId="1BA7895A" w:rsidR="000B1CF7" w:rsidRPr="00CF2086" w:rsidRDefault="00373038" w:rsidP="00373038">
      <w:pPr>
        <w:autoSpaceDE w:val="0"/>
        <w:autoSpaceDN w:val="0"/>
        <w:adjustRightInd w:val="0"/>
        <w:spacing w:line="276" w:lineRule="auto"/>
        <w:ind w:left="5040"/>
        <w:jc w:val="both"/>
        <w:rPr>
          <w:rFonts w:cstheme="majorHAnsi"/>
          <w:color w:val="0070C0"/>
          <w:sz w:val="21"/>
          <w:szCs w:val="21"/>
          <w:lang w:val="fr-CA"/>
        </w:rPr>
      </w:pPr>
      <w:r w:rsidRPr="00CF2086">
        <w:rPr>
          <w:rFonts w:cstheme="majorHAnsi"/>
          <w:sz w:val="21"/>
          <w:szCs w:val="21"/>
          <w:lang w:val="fr-CA"/>
        </w:rPr>
        <w:t xml:space="preserve">Mises à jour le </w:t>
      </w:r>
      <w:r w:rsidRPr="00CF2086">
        <w:rPr>
          <w:rFonts w:cstheme="majorHAnsi"/>
          <w:color w:val="0070C0"/>
          <w:sz w:val="21"/>
          <w:szCs w:val="21"/>
          <w:lang w:val="fr-CA"/>
        </w:rPr>
        <w:t>Date</w:t>
      </w:r>
    </w:p>
    <w:p w14:paraId="2ACE9FD6" w14:textId="6E3958B2" w:rsidR="00757E4B" w:rsidRPr="00CF2086" w:rsidRDefault="00757E4B" w:rsidP="00757E4B">
      <w:pPr>
        <w:spacing w:line="276" w:lineRule="auto"/>
        <w:jc w:val="both"/>
        <w:rPr>
          <w:rFonts w:cstheme="majorHAnsi"/>
          <w:b/>
          <w:sz w:val="21"/>
          <w:szCs w:val="21"/>
          <w:lang w:val="fr-CA"/>
        </w:rPr>
      </w:pPr>
      <w:r w:rsidRPr="00CF2086">
        <w:rPr>
          <w:rFonts w:cstheme="majorHAnsi"/>
          <w:b/>
          <w:sz w:val="21"/>
          <w:szCs w:val="21"/>
          <w:lang w:val="fr-CA"/>
        </w:rPr>
        <w:t>Politique :</w:t>
      </w:r>
    </w:p>
    <w:p w14:paraId="53D6B061" w14:textId="77777777" w:rsidR="00757E4B" w:rsidRPr="00CF2086" w:rsidRDefault="00757E4B" w:rsidP="00757E4B">
      <w:pPr>
        <w:spacing w:line="276" w:lineRule="auto"/>
        <w:jc w:val="both"/>
        <w:rPr>
          <w:rFonts w:cstheme="majorHAnsi"/>
          <w:sz w:val="21"/>
          <w:szCs w:val="21"/>
          <w:lang w:val="fr-CA"/>
        </w:rPr>
      </w:pPr>
    </w:p>
    <w:p w14:paraId="4A6E4AAE" w14:textId="25550B3E" w:rsidR="00757E4B" w:rsidRPr="00CF2086" w:rsidRDefault="00757E4B" w:rsidP="00757E4B">
      <w:pPr>
        <w:spacing w:line="276" w:lineRule="auto"/>
        <w:jc w:val="both"/>
        <w:rPr>
          <w:rFonts w:cstheme="majorHAnsi"/>
          <w:sz w:val="21"/>
          <w:szCs w:val="21"/>
          <w:lang w:val="fr-CA"/>
        </w:rPr>
      </w:pPr>
      <w:r w:rsidRPr="00CF2086">
        <w:rPr>
          <w:rFonts w:cstheme="majorHAnsi"/>
          <w:sz w:val="21"/>
          <w:szCs w:val="21"/>
          <w:lang w:val="fr-CA"/>
        </w:rPr>
        <w:t>Établir un calendrier pour enquê</w:t>
      </w:r>
      <w:r w:rsidR="008050B7" w:rsidRPr="00CF2086">
        <w:rPr>
          <w:rFonts w:cstheme="majorHAnsi"/>
          <w:sz w:val="21"/>
          <w:szCs w:val="21"/>
          <w:lang w:val="fr-CA"/>
        </w:rPr>
        <w:t>ter sur des plaintes encourage</w:t>
      </w:r>
      <w:r w:rsidRPr="00CF2086">
        <w:rPr>
          <w:rFonts w:cstheme="majorHAnsi"/>
          <w:sz w:val="21"/>
          <w:szCs w:val="21"/>
          <w:lang w:val="fr-CA"/>
        </w:rPr>
        <w:t xml:space="preserve"> une approche dynamique qui permet de garantir que les problèmes sont pris en compte rapidement afin d'éviter toute violation, ou violation</w:t>
      </w:r>
      <w:r w:rsidR="008050B7" w:rsidRPr="00CF2086">
        <w:rPr>
          <w:rFonts w:cstheme="majorHAnsi"/>
          <w:sz w:val="21"/>
          <w:szCs w:val="21"/>
          <w:lang w:val="fr-CA"/>
        </w:rPr>
        <w:t xml:space="preserve"> supplémentaire des d</w:t>
      </w:r>
      <w:r w:rsidRPr="00CF2086">
        <w:rPr>
          <w:rFonts w:cstheme="majorHAnsi"/>
          <w:sz w:val="21"/>
          <w:szCs w:val="21"/>
          <w:lang w:val="fr-CA"/>
        </w:rPr>
        <w:t>roi</w:t>
      </w:r>
      <w:r w:rsidR="008050B7" w:rsidRPr="00CF2086">
        <w:rPr>
          <w:rFonts w:cstheme="majorHAnsi"/>
          <w:sz w:val="21"/>
          <w:szCs w:val="21"/>
          <w:lang w:val="fr-CA"/>
        </w:rPr>
        <w:t>t</w:t>
      </w:r>
      <w:r w:rsidRPr="00CF2086">
        <w:rPr>
          <w:rFonts w:cstheme="majorHAnsi"/>
          <w:sz w:val="21"/>
          <w:szCs w:val="21"/>
          <w:lang w:val="fr-CA"/>
        </w:rPr>
        <w:t xml:space="preserve">s </w:t>
      </w:r>
      <w:r w:rsidR="008050B7" w:rsidRPr="00CF2086">
        <w:rPr>
          <w:rFonts w:cstheme="majorHAnsi"/>
          <w:sz w:val="21"/>
          <w:szCs w:val="21"/>
          <w:lang w:val="fr-CA"/>
        </w:rPr>
        <w:t xml:space="preserve">des </w:t>
      </w:r>
      <w:r w:rsidRPr="00CF2086">
        <w:rPr>
          <w:rFonts w:cstheme="majorHAnsi"/>
          <w:sz w:val="21"/>
          <w:szCs w:val="21"/>
          <w:lang w:val="fr-CA"/>
        </w:rPr>
        <w:t xml:space="preserve">enfants et d'atténuer l'anxiété vécue par le plaignant. </w:t>
      </w:r>
    </w:p>
    <w:p w14:paraId="2F4D1546" w14:textId="77777777" w:rsidR="0078581B" w:rsidRPr="00CF2086" w:rsidRDefault="0078581B" w:rsidP="00757E4B">
      <w:pPr>
        <w:spacing w:line="276" w:lineRule="auto"/>
        <w:jc w:val="both"/>
        <w:rPr>
          <w:rFonts w:cstheme="majorHAnsi"/>
          <w:sz w:val="21"/>
          <w:szCs w:val="21"/>
          <w:lang w:val="fr-CA"/>
        </w:rPr>
      </w:pPr>
    </w:p>
    <w:p w14:paraId="3B35E3D0" w14:textId="2E529978" w:rsidR="0078581B" w:rsidRPr="00CF2086" w:rsidRDefault="0078581B" w:rsidP="0078581B">
      <w:pPr>
        <w:spacing w:line="276" w:lineRule="auto"/>
        <w:jc w:val="both"/>
        <w:rPr>
          <w:rFonts w:cstheme="majorHAnsi"/>
          <w:sz w:val="21"/>
          <w:szCs w:val="21"/>
          <w:lang w:val="fr-CA"/>
        </w:rPr>
      </w:pPr>
      <w:r w:rsidRPr="00CF2086">
        <w:rPr>
          <w:rFonts w:cstheme="majorHAnsi"/>
          <w:color w:val="0070C0"/>
          <w:sz w:val="21"/>
          <w:szCs w:val="21"/>
          <w:lang w:val="fr-CA"/>
        </w:rPr>
        <w:t>[PSE]</w:t>
      </w:r>
      <w:r w:rsidR="008050B7" w:rsidRPr="00CF2086">
        <w:rPr>
          <w:rFonts w:cstheme="majorHAnsi"/>
          <w:color w:val="0070C0"/>
          <w:sz w:val="21"/>
          <w:szCs w:val="21"/>
          <w:lang w:val="fr-CA"/>
        </w:rPr>
        <w:t xml:space="preserve"> </w:t>
      </w:r>
      <w:r w:rsidRPr="00CF2086">
        <w:rPr>
          <w:rFonts w:cstheme="majorHAnsi"/>
          <w:sz w:val="21"/>
          <w:szCs w:val="21"/>
          <w:lang w:val="fr-CA"/>
        </w:rPr>
        <w:t>fera les efforts nécessaires, dans la limite du raisonnable, pour commencer et conclure rapidement une enquête à propos d'une plainte.</w:t>
      </w:r>
    </w:p>
    <w:p w14:paraId="5352EF1E" w14:textId="77777777" w:rsidR="00757E4B" w:rsidRPr="00CF2086" w:rsidRDefault="00757E4B" w:rsidP="00757E4B">
      <w:pPr>
        <w:spacing w:line="276" w:lineRule="auto"/>
        <w:jc w:val="both"/>
        <w:rPr>
          <w:rFonts w:cstheme="majorHAnsi"/>
          <w:sz w:val="21"/>
          <w:szCs w:val="21"/>
          <w:lang w:val="fr-CA"/>
        </w:rPr>
      </w:pPr>
    </w:p>
    <w:p w14:paraId="2A49B9CB" w14:textId="418A9647" w:rsidR="00757E4B" w:rsidRPr="008050B7" w:rsidRDefault="00CF2086" w:rsidP="00757E4B">
      <w:pPr>
        <w:spacing w:line="276" w:lineRule="auto"/>
        <w:jc w:val="both"/>
        <w:rPr>
          <w:rFonts w:cstheme="majorHAnsi"/>
          <w:b/>
          <w:sz w:val="21"/>
          <w:szCs w:val="21"/>
        </w:rPr>
      </w:pPr>
      <w:proofErr w:type="spellStart"/>
      <w:proofErr w:type="gramStart"/>
      <w:r>
        <w:rPr>
          <w:rFonts w:cstheme="majorHAnsi"/>
          <w:b/>
          <w:sz w:val="21"/>
          <w:szCs w:val="21"/>
        </w:rPr>
        <w:t>Procédures</w:t>
      </w:r>
      <w:proofErr w:type="spellEnd"/>
      <w:r>
        <w:rPr>
          <w:rFonts w:cstheme="majorHAnsi"/>
          <w:b/>
          <w:sz w:val="21"/>
          <w:szCs w:val="21"/>
        </w:rPr>
        <w:t> </w:t>
      </w:r>
      <w:r w:rsidR="00757E4B" w:rsidRPr="008050B7">
        <w:rPr>
          <w:rFonts w:cstheme="majorHAnsi"/>
          <w:b/>
          <w:sz w:val="21"/>
          <w:szCs w:val="21"/>
        </w:rPr>
        <w:t>:</w:t>
      </w:r>
      <w:proofErr w:type="gramEnd"/>
    </w:p>
    <w:p w14:paraId="70E5A4E3" w14:textId="77777777" w:rsidR="00757E4B" w:rsidRPr="008050B7" w:rsidRDefault="00757E4B" w:rsidP="00757E4B">
      <w:pPr>
        <w:spacing w:line="276" w:lineRule="auto"/>
        <w:jc w:val="both"/>
        <w:rPr>
          <w:rFonts w:cstheme="majorHAnsi"/>
          <w:b/>
          <w:i/>
          <w:sz w:val="21"/>
          <w:szCs w:val="21"/>
          <w:u w:val="single"/>
        </w:rPr>
      </w:pPr>
    </w:p>
    <w:p w14:paraId="3EE5F50D" w14:textId="5F932252" w:rsidR="00444558" w:rsidRPr="00CF2086" w:rsidRDefault="00444558" w:rsidP="002138E6">
      <w:pPr>
        <w:pStyle w:val="TMGenL1"/>
        <w:spacing w:after="120" w:line="276" w:lineRule="auto"/>
        <w:rPr>
          <w:rFonts w:cstheme="majorHAnsi"/>
          <w:sz w:val="21"/>
          <w:szCs w:val="21"/>
          <w:lang w:val="fr-CA"/>
        </w:rPr>
      </w:pPr>
      <w:r w:rsidRPr="00CF2086">
        <w:rPr>
          <w:rFonts w:cstheme="majorHAnsi"/>
          <w:sz w:val="21"/>
          <w:szCs w:val="21"/>
          <w:lang w:val="fr-CA"/>
        </w:rPr>
        <w:t>Si la plainte n'a pas p</w:t>
      </w:r>
      <w:r w:rsidR="008050B7" w:rsidRPr="00CF2086">
        <w:rPr>
          <w:rFonts w:cstheme="majorHAnsi"/>
          <w:sz w:val="21"/>
          <w:szCs w:val="21"/>
          <w:lang w:val="fr-CA"/>
        </w:rPr>
        <w:t>u</w:t>
      </w:r>
      <w:r w:rsidRPr="00CF2086">
        <w:rPr>
          <w:rFonts w:cstheme="majorHAnsi"/>
          <w:sz w:val="21"/>
          <w:szCs w:val="21"/>
          <w:lang w:val="fr-CA"/>
        </w:rPr>
        <w:t xml:space="preserve"> être résolue informellement par le biais d'un examen,</w:t>
      </w:r>
      <w:r w:rsidR="00B26D8B" w:rsidRPr="00CF2086">
        <w:rPr>
          <w:rFonts w:cstheme="majorHAnsi"/>
          <w:sz w:val="21"/>
          <w:szCs w:val="21"/>
          <w:lang w:val="fr-CA"/>
        </w:rPr>
        <w:t xml:space="preserve"> </w:t>
      </w:r>
      <w:r w:rsidRPr="00CF2086">
        <w:rPr>
          <w:rFonts w:cstheme="majorHAnsi"/>
          <w:color w:val="0070C0"/>
          <w:sz w:val="21"/>
          <w:szCs w:val="21"/>
          <w:lang w:val="fr-CA"/>
        </w:rPr>
        <w:t>[PSE]</w:t>
      </w:r>
      <w:r w:rsidRPr="00CF2086">
        <w:rPr>
          <w:rFonts w:cstheme="majorHAnsi"/>
          <w:sz w:val="21"/>
          <w:szCs w:val="21"/>
          <w:lang w:val="fr-CA"/>
        </w:rPr>
        <w:t xml:space="preserve"> commencera une enquête officielle à son sujet, à moins que l'organisation ne détermine qu'une enquête officielle ne convien</w:t>
      </w:r>
      <w:r w:rsidR="00B26D8B" w:rsidRPr="00CF2086">
        <w:rPr>
          <w:rFonts w:cstheme="majorHAnsi"/>
          <w:sz w:val="21"/>
          <w:szCs w:val="21"/>
          <w:lang w:val="fr-CA"/>
        </w:rPr>
        <w:t>t</w:t>
      </w:r>
      <w:r w:rsidRPr="00CF2086">
        <w:rPr>
          <w:rFonts w:cstheme="majorHAnsi"/>
          <w:sz w:val="21"/>
          <w:szCs w:val="21"/>
          <w:lang w:val="fr-CA"/>
        </w:rPr>
        <w:t xml:space="preserve"> pas étant donné les circonstances.</w:t>
      </w:r>
      <w:r w:rsidR="00720709" w:rsidRPr="00CF2086">
        <w:rPr>
          <w:rFonts w:cstheme="majorHAnsi"/>
          <w:sz w:val="21"/>
          <w:szCs w:val="21"/>
          <w:lang w:val="fr-CA"/>
        </w:rPr>
        <w:t xml:space="preserve"> </w:t>
      </w:r>
    </w:p>
    <w:p w14:paraId="06FE9365" w14:textId="32FAFF9F" w:rsidR="008E0E45" w:rsidRPr="00CF2086" w:rsidRDefault="00757E4B" w:rsidP="002138E6">
      <w:pPr>
        <w:pStyle w:val="TMGenL1"/>
        <w:spacing w:after="120" w:line="276" w:lineRule="auto"/>
        <w:rPr>
          <w:rFonts w:cstheme="majorHAnsi"/>
          <w:sz w:val="21"/>
          <w:szCs w:val="21"/>
          <w:lang w:val="fr-CA"/>
        </w:rPr>
      </w:pPr>
      <w:r w:rsidRPr="00CF2086">
        <w:rPr>
          <w:rFonts w:cstheme="majorHAnsi"/>
          <w:color w:val="0070C0"/>
          <w:sz w:val="21"/>
          <w:szCs w:val="21"/>
          <w:lang w:val="fr-CA"/>
        </w:rPr>
        <w:t>[PSE]</w:t>
      </w:r>
      <w:r w:rsidRPr="00CF2086">
        <w:rPr>
          <w:rFonts w:cstheme="majorHAnsi"/>
          <w:sz w:val="21"/>
          <w:szCs w:val="21"/>
          <w:lang w:val="fr-CA"/>
        </w:rPr>
        <w:t xml:space="preserve"> lancera une enquête officielle au sujet d'une plainte dans un délai de </w:t>
      </w:r>
      <w:proofErr w:type="gramStart"/>
      <w:r w:rsidR="008050B7" w:rsidRPr="00CF2086">
        <w:rPr>
          <w:rFonts w:cstheme="majorHAnsi"/>
          <w:color w:val="0070C0"/>
          <w:sz w:val="21"/>
          <w:szCs w:val="21"/>
          <w:lang w:val="fr-CA"/>
        </w:rPr>
        <w:t>[</w:t>
      </w:r>
      <w:r w:rsidR="00B26D8B" w:rsidRPr="00CF2086">
        <w:rPr>
          <w:rFonts w:cstheme="majorHAnsi"/>
          <w:color w:val="0070C0"/>
          <w:sz w:val="21"/>
          <w:szCs w:val="21"/>
          <w:lang w:val="fr-CA"/>
        </w:rPr>
        <w:t xml:space="preserve"> </w:t>
      </w:r>
      <w:r w:rsidR="008E0E45" w:rsidRPr="00CF2086">
        <w:rPr>
          <w:rFonts w:cstheme="majorHAnsi"/>
          <w:color w:val="0070C0"/>
          <w:sz w:val="21"/>
          <w:szCs w:val="21"/>
          <w:lang w:val="fr-CA"/>
        </w:rPr>
        <w:t>2</w:t>
      </w:r>
      <w:proofErr w:type="gramEnd"/>
      <w:r w:rsidR="00B26D8B" w:rsidRPr="00CF2086">
        <w:rPr>
          <w:rFonts w:cstheme="majorHAnsi"/>
          <w:color w:val="0070C0"/>
          <w:sz w:val="21"/>
          <w:szCs w:val="21"/>
          <w:lang w:val="fr-CA"/>
        </w:rPr>
        <w:t xml:space="preserve"> </w:t>
      </w:r>
      <w:r w:rsidR="008050B7" w:rsidRPr="00CF2086">
        <w:rPr>
          <w:rFonts w:cstheme="majorHAnsi"/>
          <w:color w:val="0070C0"/>
          <w:sz w:val="21"/>
          <w:szCs w:val="21"/>
          <w:lang w:val="fr-CA"/>
        </w:rPr>
        <w:t>]</w:t>
      </w:r>
      <w:r w:rsidRPr="00CF2086">
        <w:rPr>
          <w:rFonts w:cstheme="majorHAnsi"/>
          <w:sz w:val="21"/>
          <w:szCs w:val="21"/>
          <w:lang w:val="fr-CA"/>
        </w:rPr>
        <w:t xml:space="preserve"> jours ouvrés après la conclusion de l'examen ou dans un délai</w:t>
      </w:r>
      <w:r w:rsidR="00B26D8B" w:rsidRPr="00CF2086">
        <w:rPr>
          <w:rFonts w:cstheme="majorHAnsi"/>
          <w:sz w:val="21"/>
          <w:szCs w:val="21"/>
          <w:lang w:val="fr-CA"/>
        </w:rPr>
        <w:t xml:space="preserve"> de</w:t>
      </w:r>
      <w:r w:rsidRPr="00CF2086">
        <w:rPr>
          <w:rFonts w:cstheme="majorHAnsi"/>
          <w:sz w:val="21"/>
          <w:szCs w:val="21"/>
          <w:lang w:val="fr-CA"/>
        </w:rPr>
        <w:t xml:space="preserve"> </w:t>
      </w:r>
      <w:r w:rsidR="008050B7" w:rsidRPr="00CF2086">
        <w:rPr>
          <w:rFonts w:cstheme="majorHAnsi"/>
          <w:color w:val="0070C0"/>
          <w:sz w:val="21"/>
          <w:szCs w:val="21"/>
          <w:lang w:val="fr-CA"/>
        </w:rPr>
        <w:t>[</w:t>
      </w:r>
      <w:r w:rsidR="00B26D8B" w:rsidRPr="00CF2086">
        <w:rPr>
          <w:rFonts w:cstheme="majorHAnsi"/>
          <w:color w:val="0070C0"/>
          <w:sz w:val="21"/>
          <w:szCs w:val="21"/>
          <w:lang w:val="fr-CA"/>
        </w:rPr>
        <w:t xml:space="preserve"> </w:t>
      </w:r>
      <w:r w:rsidR="008050B7" w:rsidRPr="00CF2086">
        <w:rPr>
          <w:rFonts w:cstheme="majorHAnsi"/>
          <w:color w:val="0070C0"/>
          <w:sz w:val="21"/>
          <w:szCs w:val="21"/>
          <w:lang w:val="fr-CA"/>
        </w:rPr>
        <w:t>2</w:t>
      </w:r>
      <w:r w:rsidR="00B26D8B" w:rsidRPr="00CF2086">
        <w:rPr>
          <w:rFonts w:cstheme="majorHAnsi"/>
          <w:color w:val="0070C0"/>
          <w:sz w:val="21"/>
          <w:szCs w:val="21"/>
          <w:lang w:val="fr-CA"/>
        </w:rPr>
        <w:t xml:space="preserve"> </w:t>
      </w:r>
      <w:r w:rsidR="008050B7" w:rsidRPr="00CF2086">
        <w:rPr>
          <w:rFonts w:cstheme="majorHAnsi"/>
          <w:color w:val="0070C0"/>
          <w:sz w:val="21"/>
          <w:szCs w:val="21"/>
          <w:lang w:val="fr-CA"/>
        </w:rPr>
        <w:t>]</w:t>
      </w:r>
      <w:r w:rsidR="008050B7" w:rsidRPr="00CF2086">
        <w:rPr>
          <w:rFonts w:cstheme="majorHAnsi"/>
          <w:sz w:val="21"/>
          <w:szCs w:val="21"/>
          <w:lang w:val="fr-CA"/>
        </w:rPr>
        <w:t xml:space="preserve"> </w:t>
      </w:r>
      <w:r w:rsidR="00530F01" w:rsidRPr="00CF2086">
        <w:rPr>
          <w:rFonts w:cstheme="majorHAnsi"/>
          <w:sz w:val="21"/>
          <w:szCs w:val="21"/>
          <w:lang w:val="fr-CA"/>
        </w:rPr>
        <w:t xml:space="preserve">jours ouvrés après la réception de la plainte si un examen n'est pas justifié étant donné la nature de la plainte.  </w:t>
      </w:r>
    </w:p>
    <w:p w14:paraId="39762B3D" w14:textId="6B6DDF7C" w:rsidR="008E0E45" w:rsidRPr="00CF2086" w:rsidRDefault="00757E4B" w:rsidP="00757E4B">
      <w:pPr>
        <w:pStyle w:val="TMGenL1"/>
        <w:spacing w:line="276" w:lineRule="auto"/>
        <w:rPr>
          <w:rFonts w:cstheme="majorHAnsi"/>
          <w:sz w:val="21"/>
          <w:szCs w:val="21"/>
          <w:lang w:val="fr-CA"/>
        </w:rPr>
      </w:pPr>
      <w:r w:rsidRPr="00CF2086">
        <w:rPr>
          <w:rFonts w:cstheme="majorHAnsi"/>
          <w:sz w:val="21"/>
          <w:szCs w:val="21"/>
          <w:lang w:val="fr-CA"/>
        </w:rPr>
        <w:t xml:space="preserve">Les enquêtes sur une plainte sont généralement terminées dans un délai de </w:t>
      </w:r>
      <w:proofErr w:type="gramStart"/>
      <w:r w:rsidR="008050B7" w:rsidRPr="00CF2086">
        <w:rPr>
          <w:rFonts w:cstheme="majorHAnsi"/>
          <w:color w:val="0070C0"/>
          <w:sz w:val="21"/>
          <w:szCs w:val="21"/>
          <w:lang w:val="fr-CA"/>
        </w:rPr>
        <w:t>[</w:t>
      </w:r>
      <w:r w:rsidR="00B26D8B" w:rsidRPr="00CF2086">
        <w:rPr>
          <w:rFonts w:cstheme="majorHAnsi"/>
          <w:color w:val="0070C0"/>
          <w:sz w:val="21"/>
          <w:szCs w:val="21"/>
          <w:lang w:val="fr-CA"/>
        </w:rPr>
        <w:t> </w:t>
      </w:r>
      <w:r w:rsidR="008050B7" w:rsidRPr="00CF2086">
        <w:rPr>
          <w:rFonts w:cstheme="majorHAnsi"/>
          <w:color w:val="0070C0"/>
          <w:sz w:val="21"/>
          <w:szCs w:val="21"/>
          <w:lang w:val="fr-CA"/>
        </w:rPr>
        <w:t>28</w:t>
      </w:r>
      <w:proofErr w:type="gramEnd"/>
      <w:r w:rsidR="00B26D8B" w:rsidRPr="00CF2086">
        <w:rPr>
          <w:rFonts w:cstheme="majorHAnsi"/>
          <w:color w:val="0070C0"/>
          <w:sz w:val="21"/>
          <w:szCs w:val="21"/>
          <w:lang w:val="fr-CA"/>
        </w:rPr>
        <w:t> </w:t>
      </w:r>
      <w:r w:rsidR="008050B7" w:rsidRPr="00CF2086">
        <w:rPr>
          <w:rFonts w:cstheme="majorHAnsi"/>
          <w:color w:val="0070C0"/>
          <w:sz w:val="21"/>
          <w:szCs w:val="21"/>
          <w:lang w:val="fr-CA"/>
        </w:rPr>
        <w:t>]</w:t>
      </w:r>
      <w:r w:rsidR="008050B7" w:rsidRPr="00CF2086">
        <w:rPr>
          <w:rFonts w:cstheme="majorHAnsi"/>
          <w:sz w:val="21"/>
          <w:szCs w:val="21"/>
          <w:lang w:val="fr-CA"/>
        </w:rPr>
        <w:t xml:space="preserve"> </w:t>
      </w:r>
      <w:r w:rsidRPr="00CF2086">
        <w:rPr>
          <w:rFonts w:cstheme="majorHAnsi"/>
          <w:sz w:val="21"/>
          <w:szCs w:val="21"/>
          <w:lang w:val="fr-CA"/>
        </w:rPr>
        <w:t>jours ouvrés après la réception de celle-ci. Si un délai supplémentaire pour conclure l'enquête est nécessaire en raison de facteurs comme la quantité des allégations, la disponibilité des parties ou des témoins, ou tout</w:t>
      </w:r>
      <w:r w:rsidR="00B26D8B" w:rsidRPr="00CF2086">
        <w:rPr>
          <w:rFonts w:cstheme="majorHAnsi"/>
          <w:sz w:val="21"/>
          <w:szCs w:val="21"/>
          <w:lang w:val="fr-CA"/>
        </w:rPr>
        <w:t>e</w:t>
      </w:r>
      <w:r w:rsidRPr="00CF2086">
        <w:rPr>
          <w:rFonts w:cstheme="majorHAnsi"/>
          <w:sz w:val="21"/>
          <w:szCs w:val="21"/>
          <w:lang w:val="fr-CA"/>
        </w:rPr>
        <w:t xml:space="preserve"> autre raison, </w:t>
      </w:r>
      <w:r w:rsidR="008E0E45" w:rsidRPr="00CF2086">
        <w:rPr>
          <w:rFonts w:cstheme="majorHAnsi"/>
          <w:color w:val="0070C0"/>
          <w:sz w:val="21"/>
          <w:szCs w:val="21"/>
          <w:lang w:val="fr-CA"/>
        </w:rPr>
        <w:t>[PSE]</w:t>
      </w:r>
      <w:r w:rsidR="008E0E45" w:rsidRPr="00CF2086">
        <w:rPr>
          <w:rFonts w:cstheme="majorHAnsi"/>
          <w:sz w:val="21"/>
          <w:szCs w:val="21"/>
          <w:lang w:val="fr-CA"/>
        </w:rPr>
        <w:t xml:space="preserve"> en avisera les parties.</w:t>
      </w:r>
    </w:p>
    <w:p w14:paraId="5FE37F79" w14:textId="19B213AF" w:rsidR="00757E4B" w:rsidRPr="00CF2086" w:rsidRDefault="00530F01" w:rsidP="00757E4B">
      <w:pPr>
        <w:spacing w:line="276" w:lineRule="auto"/>
        <w:jc w:val="both"/>
        <w:rPr>
          <w:rFonts w:cstheme="majorHAnsi"/>
          <w:sz w:val="21"/>
          <w:szCs w:val="21"/>
          <w:u w:val="single"/>
          <w:lang w:val="fr-CA"/>
        </w:rPr>
      </w:pPr>
      <w:r w:rsidRPr="00CF2086">
        <w:rPr>
          <w:rFonts w:cstheme="majorHAnsi"/>
          <w:sz w:val="21"/>
          <w:szCs w:val="21"/>
          <w:u w:val="single"/>
          <w:lang w:val="fr-CA"/>
        </w:rPr>
        <w:t>Dans un délai de (10) jours ouvrés :</w:t>
      </w:r>
    </w:p>
    <w:p w14:paraId="5FA9DA7E" w14:textId="0BBF6AD1" w:rsidR="00530F01" w:rsidRPr="00CF2086" w:rsidRDefault="00530F01" w:rsidP="00757E4B">
      <w:pPr>
        <w:spacing w:line="276" w:lineRule="auto"/>
        <w:jc w:val="both"/>
        <w:rPr>
          <w:rFonts w:cstheme="majorHAnsi"/>
          <w:sz w:val="21"/>
          <w:szCs w:val="21"/>
          <w:lang w:val="fr-CA"/>
        </w:rPr>
      </w:pPr>
      <w:r w:rsidRPr="00CF2086">
        <w:rPr>
          <w:rFonts w:cstheme="majorHAnsi"/>
          <w:color w:val="0070C0"/>
          <w:sz w:val="21"/>
          <w:szCs w:val="21"/>
          <w:lang w:val="fr-CA"/>
        </w:rPr>
        <w:t>[PSE]</w:t>
      </w:r>
      <w:r w:rsidRPr="00CF2086">
        <w:rPr>
          <w:rFonts w:cstheme="majorHAnsi"/>
          <w:sz w:val="21"/>
          <w:szCs w:val="21"/>
          <w:lang w:val="fr-CA"/>
        </w:rPr>
        <w:t xml:space="preserve"> </w:t>
      </w:r>
      <w:r w:rsidR="00B26D8B" w:rsidRPr="00CF2086">
        <w:rPr>
          <w:rFonts w:cstheme="majorHAnsi"/>
          <w:sz w:val="21"/>
          <w:szCs w:val="21"/>
          <w:lang w:val="fr-CA"/>
        </w:rPr>
        <w:t>c</w:t>
      </w:r>
      <w:r w:rsidRPr="00CF2086">
        <w:rPr>
          <w:rFonts w:cstheme="majorHAnsi"/>
          <w:sz w:val="21"/>
          <w:szCs w:val="21"/>
          <w:lang w:val="fr-CA"/>
        </w:rPr>
        <w:t>herchera à résoudre la plainte avec les parties impliquées par le biais d'un examen informel. Veuillez consulter le formulaire</w:t>
      </w:r>
      <w:r w:rsidR="00B26D8B" w:rsidRPr="00CF2086">
        <w:rPr>
          <w:rFonts w:cstheme="majorHAnsi"/>
          <w:sz w:val="21"/>
          <w:szCs w:val="21"/>
          <w:lang w:val="fr-CA"/>
        </w:rPr>
        <w:t> </w:t>
      </w:r>
      <w:r w:rsidRPr="00CF2086">
        <w:rPr>
          <w:rFonts w:cstheme="majorHAnsi"/>
          <w:sz w:val="21"/>
          <w:szCs w:val="21"/>
          <w:lang w:val="fr-CA"/>
        </w:rPr>
        <w:t>1-E</w:t>
      </w:r>
      <w:r w:rsidR="00B26D8B" w:rsidRPr="00CF2086">
        <w:rPr>
          <w:rFonts w:cstheme="majorHAnsi"/>
          <w:sz w:val="21"/>
          <w:szCs w:val="21"/>
          <w:lang w:val="fr-CA"/>
        </w:rPr>
        <w:t> :</w:t>
      </w:r>
      <w:r w:rsidRPr="00CF2086">
        <w:rPr>
          <w:rFonts w:cstheme="majorHAnsi"/>
          <w:sz w:val="21"/>
          <w:szCs w:val="21"/>
          <w:lang w:val="fr-CA"/>
        </w:rPr>
        <w:t xml:space="preserve"> Politique et procédures d'enquête. </w:t>
      </w:r>
    </w:p>
    <w:p w14:paraId="39613D19" w14:textId="77777777" w:rsidR="00CB009A" w:rsidRPr="00CF2086" w:rsidRDefault="00CB009A" w:rsidP="00757E4B">
      <w:pPr>
        <w:spacing w:line="276" w:lineRule="auto"/>
        <w:jc w:val="both"/>
        <w:rPr>
          <w:rFonts w:cstheme="majorHAnsi"/>
          <w:sz w:val="21"/>
          <w:szCs w:val="21"/>
          <w:lang w:val="fr-CA"/>
        </w:rPr>
      </w:pPr>
    </w:p>
    <w:p w14:paraId="3B5F9A85" w14:textId="4351F05F" w:rsidR="00757E4B" w:rsidRPr="00CF2086" w:rsidRDefault="00F02C6E" w:rsidP="00F02C6E">
      <w:pPr>
        <w:spacing w:line="276" w:lineRule="auto"/>
        <w:contextualSpacing/>
        <w:jc w:val="both"/>
        <w:rPr>
          <w:rFonts w:cstheme="majorHAnsi"/>
          <w:sz w:val="21"/>
          <w:szCs w:val="21"/>
          <w:u w:val="single"/>
          <w:lang w:val="fr-CA" w:eastAsia="en-CA"/>
        </w:rPr>
      </w:pPr>
      <w:r w:rsidRPr="00CF2086">
        <w:rPr>
          <w:rFonts w:cstheme="majorHAnsi"/>
          <w:sz w:val="21"/>
          <w:szCs w:val="21"/>
          <w:u w:val="single"/>
          <w:lang w:val="fr-CA"/>
        </w:rPr>
        <w:t>Dans un délai de (11) à (21) jours ouvrés :</w:t>
      </w:r>
    </w:p>
    <w:p w14:paraId="5DB7A566" w14:textId="27626444" w:rsidR="00757E4B" w:rsidRPr="00CF2086" w:rsidRDefault="00C5151F" w:rsidP="00757E4B">
      <w:pPr>
        <w:spacing w:line="276" w:lineRule="auto"/>
        <w:jc w:val="both"/>
        <w:rPr>
          <w:rFonts w:cstheme="majorHAnsi"/>
          <w:sz w:val="21"/>
          <w:szCs w:val="21"/>
          <w:lang w:val="fr-CA"/>
        </w:rPr>
      </w:pPr>
      <w:r w:rsidRPr="00CF2086">
        <w:rPr>
          <w:rFonts w:cstheme="majorHAnsi"/>
          <w:sz w:val="21"/>
          <w:szCs w:val="21"/>
          <w:lang w:val="fr-CA"/>
        </w:rPr>
        <w:t xml:space="preserve">À ce stade, le processus d'enquête officielle sera lancé par </w:t>
      </w:r>
      <w:r w:rsidRPr="00CF2086">
        <w:rPr>
          <w:rFonts w:cstheme="majorHAnsi"/>
          <w:color w:val="0070C0"/>
          <w:sz w:val="21"/>
          <w:szCs w:val="21"/>
          <w:lang w:val="fr-CA"/>
        </w:rPr>
        <w:t>[PSE]</w:t>
      </w:r>
      <w:r w:rsidR="00757E4B" w:rsidRPr="00CF2086">
        <w:rPr>
          <w:rFonts w:cstheme="majorHAnsi"/>
          <w:sz w:val="21"/>
          <w:szCs w:val="21"/>
          <w:lang w:val="fr-CA"/>
        </w:rPr>
        <w:t xml:space="preserve">.   </w:t>
      </w:r>
    </w:p>
    <w:p w14:paraId="7C550EBF" w14:textId="266C5384" w:rsidR="00C5151F" w:rsidRPr="00CF2086" w:rsidRDefault="00C5151F"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Un enquêteur sera désigné par</w:t>
      </w:r>
      <w:r w:rsidR="008050B7" w:rsidRPr="00CF2086">
        <w:rPr>
          <w:rFonts w:eastAsia="Times New Roman" w:cstheme="majorHAnsi"/>
          <w:sz w:val="21"/>
          <w:szCs w:val="21"/>
          <w:lang w:val="fr-CA"/>
        </w:rPr>
        <w:t xml:space="preserve"> </w:t>
      </w:r>
      <w:r w:rsidRPr="00CF2086">
        <w:rPr>
          <w:rFonts w:eastAsia="Times New Roman" w:cstheme="majorHAnsi"/>
          <w:color w:val="0070C0"/>
          <w:sz w:val="21"/>
          <w:szCs w:val="21"/>
          <w:lang w:val="fr-CA"/>
        </w:rPr>
        <w:t>[PSE]</w:t>
      </w:r>
    </w:p>
    <w:p w14:paraId="17E19161" w14:textId="7D660087" w:rsidR="00C5151F" w:rsidRPr="00CF2086" w:rsidRDefault="00C5151F"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 xml:space="preserve">Le champ d'application de l'enquête sera délimité par </w:t>
      </w:r>
      <w:r w:rsidR="00E175F8" w:rsidRPr="00CF2086">
        <w:rPr>
          <w:rFonts w:eastAsia="Times New Roman" w:cstheme="majorHAnsi"/>
          <w:color w:val="0070C0"/>
          <w:sz w:val="21"/>
          <w:szCs w:val="21"/>
          <w:lang w:val="fr-CA"/>
        </w:rPr>
        <w:t>[PSE]</w:t>
      </w:r>
      <w:r w:rsidR="00E175F8" w:rsidRPr="00CF2086">
        <w:rPr>
          <w:rFonts w:eastAsia="Times New Roman" w:cstheme="majorHAnsi"/>
          <w:sz w:val="21"/>
          <w:szCs w:val="21"/>
          <w:lang w:val="fr-CA"/>
        </w:rPr>
        <w:t xml:space="preserve"> et l'enquêteur. </w:t>
      </w:r>
    </w:p>
    <w:p w14:paraId="0580D59F" w14:textId="7CB3F2A3" w:rsidR="003C435F" w:rsidRPr="00CF2086" w:rsidRDefault="003C435F"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 xml:space="preserve">Les parties et les témoins seront prévenus de l'enquête et </w:t>
      </w:r>
      <w:r w:rsidR="008050B7" w:rsidRPr="00CF2086">
        <w:rPr>
          <w:rFonts w:eastAsia="Times New Roman" w:cstheme="majorHAnsi"/>
          <w:sz w:val="21"/>
          <w:szCs w:val="21"/>
          <w:lang w:val="fr-CA"/>
        </w:rPr>
        <w:t>l'enquêteur leur sera présenté.</w:t>
      </w:r>
      <w:r w:rsidRPr="00CF2086">
        <w:rPr>
          <w:rFonts w:eastAsia="Times New Roman" w:cstheme="majorHAnsi"/>
          <w:sz w:val="21"/>
          <w:szCs w:val="21"/>
          <w:lang w:val="fr-CA"/>
        </w:rPr>
        <w:t xml:space="preserve"> </w:t>
      </w:r>
      <w:r w:rsidRPr="00CF2086">
        <w:rPr>
          <w:rFonts w:eastAsia="Times New Roman" w:cstheme="majorHAnsi"/>
          <w:color w:val="0070C0"/>
          <w:sz w:val="21"/>
          <w:szCs w:val="21"/>
          <w:lang w:val="fr-CA"/>
        </w:rPr>
        <w:t>[PSE]</w:t>
      </w:r>
      <w:r w:rsidRPr="00CF2086">
        <w:rPr>
          <w:rFonts w:eastAsia="Times New Roman" w:cstheme="majorHAnsi"/>
          <w:sz w:val="21"/>
          <w:szCs w:val="21"/>
          <w:lang w:val="fr-CA"/>
        </w:rPr>
        <w:t xml:space="preserve"> et l'enquêteur discuteront de la logistique relative aux entrevues </w:t>
      </w:r>
      <w:r w:rsidRPr="00CF2086">
        <w:rPr>
          <w:rFonts w:eastAsia="Times New Roman" w:cstheme="majorHAnsi"/>
          <w:sz w:val="21"/>
          <w:szCs w:val="21"/>
          <w:lang w:val="fr-CA"/>
        </w:rPr>
        <w:lastRenderedPageBreak/>
        <w:t>(dates, lieu, personnes de soutien, accommodements particuliers) avec les parties et les témoins</w:t>
      </w:r>
      <w:r w:rsidR="00CF2086">
        <w:rPr>
          <w:rFonts w:eastAsia="Times New Roman" w:cstheme="majorHAnsi"/>
          <w:sz w:val="21"/>
          <w:szCs w:val="21"/>
          <w:lang w:val="fr-CA"/>
        </w:rPr>
        <w:t>.</w:t>
      </w:r>
    </w:p>
    <w:p w14:paraId="692CAA90" w14:textId="253AAA9A" w:rsidR="00757E4B" w:rsidRPr="00CF2086" w:rsidRDefault="008050B7"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L</w:t>
      </w:r>
      <w:r w:rsidR="00757E4B" w:rsidRPr="00CF2086">
        <w:rPr>
          <w:rFonts w:eastAsia="Times New Roman" w:cstheme="majorHAnsi"/>
          <w:sz w:val="21"/>
          <w:szCs w:val="21"/>
          <w:lang w:val="fr-CA"/>
        </w:rPr>
        <w:t>'enquêteur commencera par un examen préliminaire des documents pertinents, notamment un exemplaire de la plainte écrite, tout rapport d'incident (p. ex.</w:t>
      </w:r>
      <w:r w:rsidR="00B26D8B" w:rsidRPr="00CF2086">
        <w:rPr>
          <w:rFonts w:eastAsia="Times New Roman" w:cstheme="majorHAnsi"/>
          <w:sz w:val="21"/>
          <w:szCs w:val="21"/>
          <w:lang w:val="fr-CA"/>
        </w:rPr>
        <w:t xml:space="preserve"> </w:t>
      </w:r>
      <w:r w:rsidR="00757E4B" w:rsidRPr="00CF2086">
        <w:rPr>
          <w:rFonts w:eastAsia="Times New Roman" w:cstheme="majorHAnsi"/>
          <w:sz w:val="21"/>
          <w:szCs w:val="21"/>
          <w:lang w:val="fr-CA"/>
        </w:rPr>
        <w:t xml:space="preserve">rapport d'incident sérieux/grave, rapport de police), les registres, les dossiers du personnel, les politiques organisationnelles, les normes du ministère et </w:t>
      </w:r>
      <w:r w:rsidR="00757E4B" w:rsidRPr="008C5F20">
        <w:rPr>
          <w:rFonts w:eastAsia="Times New Roman" w:cstheme="majorHAnsi"/>
          <w:sz w:val="21"/>
          <w:szCs w:val="21"/>
          <w:lang w:val="fr-CA"/>
        </w:rPr>
        <w:t>tou</w:t>
      </w:r>
      <w:r w:rsidR="00CF2086" w:rsidRPr="008C5F20">
        <w:rPr>
          <w:rFonts w:eastAsia="Times New Roman" w:cstheme="majorHAnsi"/>
          <w:sz w:val="21"/>
          <w:szCs w:val="21"/>
          <w:lang w:val="fr-CA"/>
        </w:rPr>
        <w:t>t</w:t>
      </w:r>
      <w:r w:rsidR="00757E4B" w:rsidRPr="008C5F20">
        <w:rPr>
          <w:rFonts w:eastAsia="Times New Roman" w:cstheme="majorHAnsi"/>
          <w:sz w:val="21"/>
          <w:szCs w:val="21"/>
          <w:lang w:val="fr-CA"/>
        </w:rPr>
        <w:t xml:space="preserve"> autre document pertinent</w:t>
      </w:r>
      <w:r w:rsidR="00757E4B" w:rsidRPr="00CF2086">
        <w:rPr>
          <w:rFonts w:eastAsia="Times New Roman" w:cstheme="majorHAnsi"/>
          <w:sz w:val="21"/>
          <w:szCs w:val="21"/>
          <w:lang w:val="fr-CA"/>
        </w:rPr>
        <w:t xml:space="preserve"> applicables à la situation.  </w:t>
      </w:r>
    </w:p>
    <w:p w14:paraId="71985636" w14:textId="3C156BB4" w:rsidR="00757E4B" w:rsidRPr="00CF2086" w:rsidRDefault="00757E4B" w:rsidP="00C5151F">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 xml:space="preserve">L'enquêteur interrogera les personnes impliquées, notamment le plaignant, le défenseur et les témoins de façon à obtenir leurs déclarations orales ou écrites en ce qui concerne les allégations soulevées par la plainte. L'enquêteur pourrait avoir besoin de se réunir plus d'une fois avec les parties et les témoins de manière à obtenir toutes les informations pertinentes.  </w:t>
      </w:r>
    </w:p>
    <w:p w14:paraId="0358CB72" w14:textId="4BD46E13" w:rsidR="00757E4B" w:rsidRPr="00CF2086" w:rsidRDefault="00757E4B"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L'enquêteur collectera et examinera tous les documents additionnels pertinents ainsi que toutes les preuves matérielles, notamment (sans s'y limiter) les dossiers, rapports, registres, courriels, messages texte, messages téléphonique</w:t>
      </w:r>
      <w:r w:rsidR="00B26D8B" w:rsidRPr="00CF2086">
        <w:rPr>
          <w:rFonts w:eastAsia="Times New Roman" w:cstheme="majorHAnsi"/>
          <w:sz w:val="21"/>
          <w:szCs w:val="21"/>
          <w:lang w:val="fr-CA"/>
        </w:rPr>
        <w:t>s</w:t>
      </w:r>
      <w:r w:rsidRPr="00CF2086">
        <w:rPr>
          <w:rFonts w:eastAsia="Times New Roman" w:cstheme="majorHAnsi"/>
          <w:sz w:val="21"/>
          <w:szCs w:val="21"/>
          <w:lang w:val="fr-CA"/>
        </w:rPr>
        <w:t xml:space="preserve">, photo, informations graphiques et ainsi de suite.  </w:t>
      </w:r>
    </w:p>
    <w:p w14:paraId="00818EDD" w14:textId="63DAD9ED" w:rsidR="00757E4B" w:rsidRPr="00CF2086" w:rsidRDefault="00757E4B" w:rsidP="00757E4B">
      <w:pPr>
        <w:numPr>
          <w:ilvl w:val="0"/>
          <w:numId w:val="11"/>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L'enquêteur consultera le représ</w:t>
      </w:r>
      <w:r w:rsidR="008050B7" w:rsidRPr="00CF2086">
        <w:rPr>
          <w:rFonts w:eastAsia="Times New Roman" w:cstheme="majorHAnsi"/>
          <w:sz w:val="21"/>
          <w:szCs w:val="21"/>
          <w:lang w:val="fr-CA"/>
        </w:rPr>
        <w:t xml:space="preserve">entant de la diversité, ou de </w:t>
      </w:r>
      <w:r w:rsidR="00B26D8B" w:rsidRPr="00CF2086">
        <w:rPr>
          <w:rFonts w:eastAsia="Times New Roman" w:cstheme="majorHAnsi"/>
          <w:sz w:val="21"/>
          <w:szCs w:val="21"/>
          <w:lang w:val="fr-CA"/>
        </w:rPr>
        <w:t xml:space="preserve">la </w:t>
      </w:r>
      <w:r w:rsidRPr="00CF2086">
        <w:rPr>
          <w:rFonts w:eastAsia="Times New Roman" w:cstheme="majorHAnsi"/>
          <w:sz w:val="21"/>
          <w:szCs w:val="21"/>
          <w:lang w:val="fr-CA"/>
        </w:rPr>
        <w:t xml:space="preserve">communauté </w:t>
      </w:r>
      <w:r w:rsidR="00B26D8B" w:rsidRPr="00CF2086">
        <w:rPr>
          <w:rFonts w:eastAsia="Times New Roman" w:cstheme="majorHAnsi"/>
          <w:sz w:val="21"/>
          <w:szCs w:val="21"/>
          <w:lang w:val="fr-CA"/>
        </w:rPr>
        <w:t xml:space="preserve">des </w:t>
      </w:r>
      <w:r w:rsidRPr="00CF2086">
        <w:rPr>
          <w:rFonts w:eastAsia="Times New Roman" w:cstheme="majorHAnsi"/>
          <w:sz w:val="21"/>
          <w:szCs w:val="21"/>
          <w:lang w:val="fr-CA"/>
        </w:rPr>
        <w:t>Premières nations, Inuit ou métis (le cas échéant) de l'enfant pour s'assurer que les informations obtenues par le biais de l'enquête présente</w:t>
      </w:r>
      <w:r w:rsidR="00B26D8B" w:rsidRPr="00CF2086">
        <w:rPr>
          <w:rFonts w:eastAsia="Times New Roman" w:cstheme="majorHAnsi"/>
          <w:sz w:val="21"/>
          <w:szCs w:val="21"/>
          <w:lang w:val="fr-CA"/>
        </w:rPr>
        <w:t>nt</w:t>
      </w:r>
      <w:r w:rsidRPr="00CF2086">
        <w:rPr>
          <w:rFonts w:eastAsia="Times New Roman" w:cstheme="majorHAnsi"/>
          <w:sz w:val="21"/>
          <w:szCs w:val="21"/>
          <w:lang w:val="fr-CA"/>
        </w:rPr>
        <w:t xml:space="preserve"> un portrait exact des différences, des besoins et des pratiques culturelles de l'enfant.</w:t>
      </w:r>
    </w:p>
    <w:p w14:paraId="438C0AB9" w14:textId="77777777" w:rsidR="00757E4B" w:rsidRPr="00CF2086" w:rsidRDefault="00757E4B" w:rsidP="00757E4B">
      <w:pPr>
        <w:spacing w:line="276" w:lineRule="auto"/>
        <w:jc w:val="both"/>
        <w:rPr>
          <w:rFonts w:cstheme="majorHAnsi"/>
          <w:sz w:val="21"/>
          <w:szCs w:val="21"/>
          <w:u w:val="single"/>
          <w:lang w:val="fr-CA"/>
        </w:rPr>
      </w:pPr>
    </w:p>
    <w:p w14:paraId="6E843169" w14:textId="2527F4F2" w:rsidR="00757E4B" w:rsidRPr="00CF2086" w:rsidRDefault="00757E4B" w:rsidP="00DA6754">
      <w:pPr>
        <w:spacing w:line="276" w:lineRule="auto"/>
        <w:contextualSpacing/>
        <w:jc w:val="both"/>
        <w:rPr>
          <w:rFonts w:cstheme="majorHAnsi"/>
          <w:sz w:val="21"/>
          <w:szCs w:val="21"/>
          <w:u w:val="single"/>
          <w:lang w:val="fr-CA" w:eastAsia="en-CA"/>
        </w:rPr>
      </w:pPr>
      <w:r w:rsidRPr="00CF2086">
        <w:rPr>
          <w:rFonts w:cstheme="majorHAnsi"/>
          <w:sz w:val="21"/>
          <w:szCs w:val="21"/>
          <w:u w:val="single"/>
          <w:lang w:val="fr-CA"/>
        </w:rPr>
        <w:t>Dans un délai de (28) jours ouvrés</w:t>
      </w:r>
      <w:r w:rsidR="00B26D8B" w:rsidRPr="00CF2086">
        <w:rPr>
          <w:rFonts w:cstheme="majorHAnsi"/>
          <w:sz w:val="21"/>
          <w:szCs w:val="21"/>
          <w:u w:val="single"/>
          <w:lang w:val="fr-CA"/>
        </w:rPr>
        <w:t> </w:t>
      </w:r>
      <w:r w:rsidRPr="00CF2086">
        <w:rPr>
          <w:rFonts w:cstheme="majorHAnsi"/>
          <w:sz w:val="21"/>
          <w:szCs w:val="21"/>
          <w:u w:val="single"/>
          <w:lang w:val="fr-CA"/>
        </w:rPr>
        <w:t xml:space="preserve">: </w:t>
      </w:r>
    </w:p>
    <w:p w14:paraId="4A153BAF" w14:textId="685C08F5" w:rsidR="00DA6754" w:rsidRPr="00CF2086" w:rsidRDefault="008050B7" w:rsidP="00DA6754">
      <w:pPr>
        <w:numPr>
          <w:ilvl w:val="0"/>
          <w:numId w:val="13"/>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L</w:t>
      </w:r>
      <w:r w:rsidR="00DA6754" w:rsidRPr="00CF2086">
        <w:rPr>
          <w:rFonts w:eastAsia="Times New Roman" w:cstheme="majorHAnsi"/>
          <w:sz w:val="21"/>
          <w:szCs w:val="21"/>
          <w:lang w:val="fr-CA"/>
        </w:rPr>
        <w:t>'enquêteur remplira un formulaire relatif aux résultats de la plainte ou un rapport écrit de l'enquête (selon le cas). Le rapport prés</w:t>
      </w:r>
      <w:r w:rsidRPr="00CF2086">
        <w:rPr>
          <w:rFonts w:eastAsia="Times New Roman" w:cstheme="majorHAnsi"/>
          <w:sz w:val="21"/>
          <w:szCs w:val="21"/>
          <w:lang w:val="fr-CA"/>
        </w:rPr>
        <w:t>entera un compte rendu de toute la documentation et de toutes l</w:t>
      </w:r>
      <w:r w:rsidR="00DA6754" w:rsidRPr="00CF2086">
        <w:rPr>
          <w:rFonts w:eastAsia="Times New Roman" w:cstheme="majorHAnsi"/>
          <w:sz w:val="21"/>
          <w:szCs w:val="21"/>
          <w:lang w:val="fr-CA"/>
        </w:rPr>
        <w:t>es i</w:t>
      </w:r>
      <w:r w:rsidRPr="00CF2086">
        <w:rPr>
          <w:rFonts w:eastAsia="Times New Roman" w:cstheme="majorHAnsi"/>
          <w:sz w:val="21"/>
          <w:szCs w:val="21"/>
          <w:lang w:val="fr-CA"/>
        </w:rPr>
        <w:t>nformations pertinentes collectées au cours de l'enquête, d</w:t>
      </w:r>
      <w:r w:rsidR="00DA6754" w:rsidRPr="00CF2086">
        <w:rPr>
          <w:rFonts w:eastAsia="Times New Roman" w:cstheme="majorHAnsi"/>
          <w:sz w:val="21"/>
          <w:szCs w:val="21"/>
          <w:lang w:val="fr-CA"/>
        </w:rPr>
        <w:t xml:space="preserve">es conclusions de l'enquêteur, notamment </w:t>
      </w:r>
      <w:r w:rsidRPr="00CF2086">
        <w:rPr>
          <w:rFonts w:eastAsia="Times New Roman" w:cstheme="majorHAnsi"/>
          <w:sz w:val="21"/>
          <w:szCs w:val="21"/>
          <w:lang w:val="fr-CA"/>
        </w:rPr>
        <w:t>du</w:t>
      </w:r>
      <w:r w:rsidR="00DA6754" w:rsidRPr="00CF2086">
        <w:rPr>
          <w:rFonts w:eastAsia="Times New Roman" w:cstheme="majorHAnsi"/>
          <w:sz w:val="21"/>
          <w:szCs w:val="21"/>
          <w:lang w:val="fr-CA"/>
        </w:rPr>
        <w:t xml:space="preserve"> fait de savoir si la plainte est fondée</w:t>
      </w:r>
      <w:r w:rsidRPr="00CF2086">
        <w:rPr>
          <w:rFonts w:eastAsia="Times New Roman" w:cstheme="majorHAnsi"/>
          <w:sz w:val="21"/>
          <w:szCs w:val="21"/>
          <w:lang w:val="fr-CA"/>
        </w:rPr>
        <w:t xml:space="preserve"> ou</w:t>
      </w:r>
      <w:r w:rsidR="00DA6754" w:rsidRPr="00CF2086">
        <w:rPr>
          <w:rFonts w:eastAsia="Times New Roman" w:cstheme="majorHAnsi"/>
          <w:sz w:val="21"/>
          <w:szCs w:val="21"/>
          <w:lang w:val="fr-CA"/>
        </w:rPr>
        <w:t xml:space="preserve"> infondée, et </w:t>
      </w:r>
      <w:r w:rsidRPr="00CF2086">
        <w:rPr>
          <w:rFonts w:eastAsia="Times New Roman" w:cstheme="majorHAnsi"/>
          <w:sz w:val="21"/>
          <w:szCs w:val="21"/>
          <w:lang w:val="fr-CA"/>
        </w:rPr>
        <w:t xml:space="preserve">de </w:t>
      </w:r>
      <w:r w:rsidR="00DA6754" w:rsidRPr="00CF2086">
        <w:rPr>
          <w:rFonts w:eastAsia="Times New Roman" w:cstheme="majorHAnsi"/>
          <w:sz w:val="21"/>
          <w:szCs w:val="21"/>
          <w:lang w:val="fr-CA"/>
        </w:rPr>
        <w:t xml:space="preserve">toutes </w:t>
      </w:r>
      <w:r w:rsidRPr="00CF2086">
        <w:rPr>
          <w:rFonts w:eastAsia="Times New Roman" w:cstheme="majorHAnsi"/>
          <w:sz w:val="21"/>
          <w:szCs w:val="21"/>
          <w:lang w:val="fr-CA"/>
        </w:rPr>
        <w:t xml:space="preserve">les </w:t>
      </w:r>
      <w:r w:rsidR="00DA6754" w:rsidRPr="00CF2086">
        <w:rPr>
          <w:rFonts w:eastAsia="Times New Roman" w:cstheme="majorHAnsi"/>
          <w:sz w:val="21"/>
          <w:szCs w:val="21"/>
          <w:lang w:val="fr-CA"/>
        </w:rPr>
        <w:t>recommandations ou</w:t>
      </w:r>
      <w:r w:rsidRPr="00CF2086">
        <w:rPr>
          <w:rFonts w:eastAsia="Times New Roman" w:cstheme="majorHAnsi"/>
          <w:sz w:val="21"/>
          <w:szCs w:val="21"/>
          <w:lang w:val="fr-CA"/>
        </w:rPr>
        <w:t xml:space="preserve"> </w:t>
      </w:r>
      <w:r w:rsidR="00DA6754" w:rsidRPr="00CF2086">
        <w:rPr>
          <w:rFonts w:eastAsia="Times New Roman" w:cstheme="majorHAnsi"/>
          <w:sz w:val="21"/>
          <w:szCs w:val="21"/>
          <w:lang w:val="fr-CA"/>
        </w:rPr>
        <w:t>mesures disciplinaires</w:t>
      </w:r>
      <w:r w:rsidRPr="00CF2086">
        <w:rPr>
          <w:rFonts w:eastAsia="Times New Roman" w:cstheme="majorHAnsi"/>
          <w:sz w:val="21"/>
          <w:szCs w:val="21"/>
          <w:lang w:val="fr-CA"/>
        </w:rPr>
        <w:t xml:space="preserve"> que le </w:t>
      </w:r>
      <w:r w:rsidRPr="00CF2086">
        <w:rPr>
          <w:rFonts w:eastAsia="Times New Roman" w:cstheme="majorHAnsi"/>
          <w:color w:val="0070C0"/>
          <w:sz w:val="21"/>
          <w:szCs w:val="21"/>
          <w:lang w:val="fr-CA"/>
        </w:rPr>
        <w:t>[PSE]</w:t>
      </w:r>
      <w:r w:rsidR="00DA6754" w:rsidRPr="00CF2086">
        <w:rPr>
          <w:rFonts w:eastAsia="Times New Roman" w:cstheme="majorHAnsi"/>
          <w:sz w:val="21"/>
          <w:szCs w:val="21"/>
          <w:lang w:val="fr-CA"/>
        </w:rPr>
        <w:t xml:space="preserve"> </w:t>
      </w:r>
      <w:r w:rsidRPr="00CF2086">
        <w:rPr>
          <w:rFonts w:eastAsia="Times New Roman" w:cstheme="majorHAnsi"/>
          <w:sz w:val="21"/>
          <w:szCs w:val="21"/>
          <w:lang w:val="fr-CA"/>
        </w:rPr>
        <w:t>devra mettre en place.</w:t>
      </w:r>
      <w:r w:rsidR="00DA6754" w:rsidRPr="00CF2086">
        <w:rPr>
          <w:rFonts w:eastAsia="Times New Roman" w:cstheme="majorHAnsi"/>
          <w:color w:val="0070C0"/>
          <w:sz w:val="21"/>
          <w:szCs w:val="21"/>
          <w:lang w:val="fr-CA"/>
        </w:rPr>
        <w:t xml:space="preserve"> </w:t>
      </w:r>
    </w:p>
    <w:p w14:paraId="1F02D0E9" w14:textId="338A7331" w:rsidR="00DA6754" w:rsidRPr="00CF2086" w:rsidRDefault="00DA6754" w:rsidP="00DA6754">
      <w:pPr>
        <w:numPr>
          <w:ilvl w:val="0"/>
          <w:numId w:val="13"/>
        </w:numPr>
        <w:spacing w:line="276" w:lineRule="auto"/>
        <w:jc w:val="both"/>
        <w:outlineLvl w:val="0"/>
        <w:rPr>
          <w:rFonts w:eastAsia="Times New Roman" w:cstheme="majorHAnsi"/>
          <w:sz w:val="21"/>
          <w:szCs w:val="21"/>
          <w:lang w:val="fr-CA"/>
        </w:rPr>
      </w:pPr>
      <w:r w:rsidRPr="00CF2086">
        <w:rPr>
          <w:rFonts w:eastAsia="Times New Roman" w:cstheme="majorHAnsi"/>
          <w:sz w:val="21"/>
          <w:szCs w:val="21"/>
          <w:lang w:val="fr-CA"/>
        </w:rPr>
        <w:t>Le rapport sera présent</w:t>
      </w:r>
      <w:r w:rsidR="008050B7" w:rsidRPr="00CF2086">
        <w:rPr>
          <w:rFonts w:eastAsia="Times New Roman" w:cstheme="majorHAnsi"/>
          <w:sz w:val="21"/>
          <w:szCs w:val="21"/>
          <w:lang w:val="fr-CA"/>
        </w:rPr>
        <w:t>é</w:t>
      </w:r>
      <w:r w:rsidRPr="00CF2086">
        <w:rPr>
          <w:rFonts w:eastAsia="Times New Roman" w:cstheme="majorHAnsi"/>
          <w:sz w:val="21"/>
          <w:szCs w:val="21"/>
          <w:lang w:val="fr-CA"/>
        </w:rPr>
        <w:t xml:space="preserve"> à </w:t>
      </w:r>
      <w:r w:rsidRPr="00CF2086">
        <w:rPr>
          <w:rFonts w:eastAsia="Times New Roman" w:cstheme="majorHAnsi"/>
          <w:color w:val="0070C0"/>
          <w:sz w:val="21"/>
          <w:szCs w:val="21"/>
          <w:lang w:val="fr-CA"/>
        </w:rPr>
        <w:t>[PSE]</w:t>
      </w:r>
      <w:r w:rsidRPr="00CF2086">
        <w:rPr>
          <w:rFonts w:eastAsia="Times New Roman" w:cstheme="majorHAnsi"/>
          <w:sz w:val="21"/>
          <w:szCs w:val="21"/>
          <w:lang w:val="fr-CA"/>
        </w:rPr>
        <w:t xml:space="preserve"> ou à ses représentants pour que les mesures appropriées soient mises en œuvre. </w:t>
      </w:r>
    </w:p>
    <w:p w14:paraId="226A6F89" w14:textId="5DE750FB" w:rsidR="00757E4B" w:rsidRPr="00CF2086" w:rsidRDefault="00757E4B" w:rsidP="00757E4B">
      <w:pPr>
        <w:numPr>
          <w:ilvl w:val="0"/>
          <w:numId w:val="13"/>
        </w:numPr>
        <w:spacing w:before="200" w:after="200" w:line="276" w:lineRule="auto"/>
        <w:contextualSpacing/>
        <w:jc w:val="both"/>
        <w:rPr>
          <w:rFonts w:cstheme="majorHAnsi"/>
          <w:sz w:val="21"/>
          <w:szCs w:val="21"/>
          <w:lang w:val="fr-CA" w:eastAsia="en-CA"/>
        </w:rPr>
      </w:pPr>
      <w:r w:rsidRPr="00CF2086">
        <w:rPr>
          <w:rFonts w:cstheme="majorHAnsi"/>
          <w:sz w:val="21"/>
          <w:szCs w:val="21"/>
          <w:lang w:val="fr-CA"/>
        </w:rPr>
        <w:t>Une lettre résumant le résultat de l'enquête sera envoyé</w:t>
      </w:r>
      <w:r w:rsidR="00B26D8B" w:rsidRPr="00CF2086">
        <w:rPr>
          <w:rFonts w:cstheme="majorHAnsi"/>
          <w:sz w:val="21"/>
          <w:szCs w:val="21"/>
          <w:lang w:val="fr-CA"/>
        </w:rPr>
        <w:t>e</w:t>
      </w:r>
      <w:r w:rsidRPr="00CF2086">
        <w:rPr>
          <w:rFonts w:cstheme="majorHAnsi"/>
          <w:sz w:val="21"/>
          <w:szCs w:val="21"/>
          <w:lang w:val="fr-CA"/>
        </w:rPr>
        <w:t xml:space="preserve"> aux parties impliquées (le plaignant, le défenseur et l'enfant impliqué s'il ne s'agit pas du plaignant).  </w:t>
      </w:r>
    </w:p>
    <w:p w14:paraId="66B4B9EE" w14:textId="0E1A9F01" w:rsidR="003614D1" w:rsidRPr="00CF2086" w:rsidRDefault="00757E4B" w:rsidP="002138E6">
      <w:pPr>
        <w:numPr>
          <w:ilvl w:val="0"/>
          <w:numId w:val="13"/>
        </w:numPr>
        <w:spacing w:before="200" w:after="200" w:line="276" w:lineRule="auto"/>
        <w:contextualSpacing/>
        <w:jc w:val="both"/>
        <w:rPr>
          <w:rFonts w:cstheme="majorHAnsi"/>
          <w:sz w:val="21"/>
          <w:szCs w:val="21"/>
          <w:lang w:val="fr-CA" w:eastAsia="en-CA"/>
        </w:rPr>
      </w:pPr>
      <w:r w:rsidRPr="00CF2086">
        <w:rPr>
          <w:rFonts w:cstheme="majorHAnsi"/>
          <w:sz w:val="21"/>
          <w:szCs w:val="21"/>
          <w:lang w:val="fr-CA"/>
        </w:rPr>
        <w:t>Si le plaignant est satisfait du résultat de l'enquête</w:t>
      </w:r>
      <w:r w:rsidR="00B26D8B" w:rsidRPr="00CF2086">
        <w:rPr>
          <w:rFonts w:cstheme="majorHAnsi"/>
          <w:sz w:val="21"/>
          <w:szCs w:val="21"/>
          <w:lang w:val="fr-CA"/>
        </w:rPr>
        <w:t>,</w:t>
      </w:r>
      <w:r w:rsidRPr="00CF2086">
        <w:rPr>
          <w:rFonts w:cstheme="majorHAnsi"/>
          <w:sz w:val="21"/>
          <w:szCs w:val="21"/>
          <w:lang w:val="fr-CA"/>
        </w:rPr>
        <w:t xml:space="preserve"> aucune autre mesure d'investigation ne sera nécessaire. Si le plaignant n'est pas satisfait du résultat de l'enquête ou des recommandations émises, </w:t>
      </w:r>
      <w:r w:rsidRPr="00CF2086">
        <w:rPr>
          <w:rFonts w:cstheme="majorHAnsi"/>
          <w:color w:val="0070C0"/>
          <w:sz w:val="21"/>
          <w:szCs w:val="21"/>
          <w:lang w:val="fr-CA"/>
        </w:rPr>
        <w:t>[PSE]</w:t>
      </w:r>
      <w:r w:rsidRPr="00CF2086">
        <w:rPr>
          <w:rFonts w:cstheme="majorHAnsi"/>
          <w:sz w:val="21"/>
          <w:szCs w:val="21"/>
          <w:lang w:val="fr-CA"/>
        </w:rPr>
        <w:t xml:space="preserve"> donnera les coordonnées de l'IPEJ au plaignant et/ou à ses représentants et expliquera que la plainte peut être réexaminée par le ministre des Services à l'enfance et à la jeunesse ou par l'IPEJ.</w:t>
      </w:r>
    </w:p>
    <w:sectPr w:rsidR="003614D1" w:rsidRPr="00CF2086" w:rsidSect="00B052A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6" w:footer="706" w:gutter="0"/>
      <w:pgNumType w:start="7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B79AC7" w14:textId="77777777" w:rsidR="00882DD6" w:rsidRDefault="00882DD6" w:rsidP="00957B7C">
      <w:r>
        <w:separator/>
      </w:r>
    </w:p>
  </w:endnote>
  <w:endnote w:type="continuationSeparator" w:id="0">
    <w:p w14:paraId="567247CD" w14:textId="77777777" w:rsidR="00882DD6" w:rsidRDefault="00882DD6" w:rsidP="0095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DE2A0" w14:textId="77777777" w:rsidR="00A510C5" w:rsidRDefault="00A510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47B13" w14:textId="340B6249" w:rsidR="00B26D8B" w:rsidRPr="00A510C5" w:rsidRDefault="00B26D8B" w:rsidP="00A510C5">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27A78" w14:textId="77777777" w:rsidR="00A510C5" w:rsidRDefault="00A510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B1A7B" w14:textId="77777777" w:rsidR="00882DD6" w:rsidRDefault="00882DD6" w:rsidP="00957B7C">
      <w:r>
        <w:separator/>
      </w:r>
    </w:p>
  </w:footnote>
  <w:footnote w:type="continuationSeparator" w:id="0">
    <w:p w14:paraId="26D00769" w14:textId="77777777" w:rsidR="00882DD6" w:rsidRDefault="00882DD6" w:rsidP="00957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37BF7" w14:textId="77777777" w:rsidR="00A510C5" w:rsidRDefault="00A510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194C" w14:textId="421E21F7" w:rsidR="00B26D8B" w:rsidRPr="00CF2086" w:rsidRDefault="00B26D8B" w:rsidP="00373038">
    <w:pPr>
      <w:pStyle w:val="Header"/>
      <w:jc w:val="right"/>
      <w:rPr>
        <w:b/>
        <w:color w:val="0070C0"/>
        <w:sz w:val="22"/>
        <w:lang w:val="fr-CA"/>
      </w:rPr>
    </w:pPr>
    <w:r w:rsidRPr="00CF2086">
      <w:rPr>
        <w:b/>
        <w:color w:val="0070C0"/>
        <w:sz w:val="22"/>
        <w:lang w:val="fr-CA"/>
      </w:rPr>
      <w:t>Formulaire 10 – B – Délais relatifs à l'enquête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2CB4D" w14:textId="77777777" w:rsidR="00A510C5" w:rsidRDefault="00A510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5CD"/>
    <w:multiLevelType w:val="hybridMultilevel"/>
    <w:tmpl w:val="E70A244A"/>
    <w:name w:val="Unknown B-43097696B-X"/>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CD78FC"/>
    <w:multiLevelType w:val="multilevel"/>
    <w:tmpl w:val="31F86D7C"/>
    <w:name w:val="TMLgl-412056048-F"/>
    <w:styleLink w:val="TMLglList"/>
    <w:lvl w:ilvl="0">
      <w:start w:val="1"/>
      <w:numFmt w:val="decimal"/>
      <w:lvlRestart w:val="0"/>
      <w:pStyle w:val="TMLglL1"/>
      <w:isLgl/>
      <w:lvlText w:val="%1."/>
      <w:lvlJc w:val="left"/>
      <w:pPr>
        <w:tabs>
          <w:tab w:val="num" w:pos="720"/>
        </w:tabs>
        <w:ind w:left="720" w:hanging="720"/>
      </w:pPr>
      <w:rPr>
        <w:rFonts w:ascii="Times New Roman" w:hAnsi="Times New Roman" w:cs="Times New Roman"/>
        <w:sz w:val="24"/>
      </w:rPr>
    </w:lvl>
    <w:lvl w:ilvl="1">
      <w:start w:val="1"/>
      <w:numFmt w:val="decimal"/>
      <w:pStyle w:val="TMLglL2"/>
      <w:isLgl/>
      <w:lvlText w:val="%1.%2"/>
      <w:lvlJc w:val="left"/>
      <w:pPr>
        <w:tabs>
          <w:tab w:val="num" w:pos="720"/>
        </w:tabs>
        <w:ind w:left="720" w:hanging="720"/>
      </w:pPr>
      <w:rPr>
        <w:rFonts w:ascii="Times New Roman" w:hAnsi="Times New Roman" w:cs="Times New Roman"/>
        <w:sz w:val="24"/>
      </w:rPr>
    </w:lvl>
    <w:lvl w:ilvl="2">
      <w:start w:val="1"/>
      <w:numFmt w:val="decimal"/>
      <w:pStyle w:val="TMLglL3"/>
      <w:isLgl/>
      <w:lvlText w:val="%1.%2.%3"/>
      <w:lvlJc w:val="left"/>
      <w:pPr>
        <w:tabs>
          <w:tab w:val="num" w:pos="720"/>
        </w:tabs>
        <w:ind w:left="720" w:hanging="720"/>
      </w:pPr>
      <w:rPr>
        <w:rFonts w:ascii="Times New Roman" w:hAnsi="Times New Roman" w:cs="Times New Roman"/>
        <w:sz w:val="24"/>
      </w:rPr>
    </w:lvl>
    <w:lvl w:ilvl="3">
      <w:start w:val="1"/>
      <w:numFmt w:val="decimal"/>
      <w:pStyle w:val="TMLglL4"/>
      <w:isLgl/>
      <w:lvlText w:val="%1.%2.%3.%4"/>
      <w:lvlJc w:val="left"/>
      <w:pPr>
        <w:tabs>
          <w:tab w:val="num" w:pos="1440"/>
        </w:tabs>
        <w:ind w:left="1440" w:hanging="1440"/>
      </w:pPr>
      <w:rPr>
        <w:rFonts w:ascii="Times New Roman" w:hAnsi="Times New Roman" w:cs="Times New Roman"/>
        <w:sz w:val="24"/>
      </w:rPr>
    </w:lvl>
    <w:lvl w:ilvl="4">
      <w:start w:val="1"/>
      <w:numFmt w:val="decimal"/>
      <w:pStyle w:val="TMLglL5"/>
      <w:isLgl/>
      <w:lvlText w:val="%1.%2.%3.%4.%5"/>
      <w:lvlJc w:val="left"/>
      <w:pPr>
        <w:tabs>
          <w:tab w:val="num" w:pos="1440"/>
        </w:tabs>
        <w:ind w:left="1440" w:hanging="1440"/>
      </w:pPr>
      <w:rPr>
        <w:rFonts w:ascii="Times New Roman" w:hAnsi="Times New Roman" w:cs="Times New Roman"/>
        <w:sz w:val="24"/>
      </w:rPr>
    </w:lvl>
    <w:lvl w:ilvl="5">
      <w:start w:val="1"/>
      <w:numFmt w:val="decimal"/>
      <w:pStyle w:val="TMLglL6"/>
      <w:isLgl/>
      <w:lvlText w:val="%1.%2.%3.%4.%5.%6"/>
      <w:lvlJc w:val="left"/>
      <w:pPr>
        <w:tabs>
          <w:tab w:val="num" w:pos="1440"/>
        </w:tabs>
        <w:ind w:left="1440" w:hanging="1440"/>
      </w:pPr>
      <w:rPr>
        <w:rFonts w:ascii="Times New Roman" w:hAnsi="Times New Roman" w:cs="Times New Roman"/>
        <w:sz w:val="24"/>
      </w:rPr>
    </w:lvl>
    <w:lvl w:ilvl="6">
      <w:start w:val="1"/>
      <w:numFmt w:val="decimal"/>
      <w:pStyle w:val="TMLglL7"/>
      <w:isLgl/>
      <w:lvlText w:val="%1.%2.%3.%4.%5.%6.%7"/>
      <w:lvlJc w:val="left"/>
      <w:pPr>
        <w:tabs>
          <w:tab w:val="num" w:pos="2160"/>
        </w:tabs>
        <w:ind w:left="2160" w:hanging="2160"/>
      </w:pPr>
      <w:rPr>
        <w:rFonts w:ascii="Times New Roman" w:hAnsi="Times New Roman" w:cs="Times New Roman"/>
        <w:sz w:val="24"/>
      </w:rPr>
    </w:lvl>
    <w:lvl w:ilvl="7">
      <w:start w:val="1"/>
      <w:numFmt w:val="decimal"/>
      <w:pStyle w:val="TMLglL8"/>
      <w:isLgl/>
      <w:lvlText w:val="%1.%2.%3.%4.%5.%6.%7.%8"/>
      <w:lvlJc w:val="left"/>
      <w:pPr>
        <w:tabs>
          <w:tab w:val="num" w:pos="2160"/>
        </w:tabs>
        <w:ind w:left="2160" w:hanging="2160"/>
      </w:pPr>
      <w:rPr>
        <w:rFonts w:ascii="Times New Roman" w:hAnsi="Times New Roman" w:cs="Times New Roman"/>
        <w:sz w:val="24"/>
      </w:rPr>
    </w:lvl>
    <w:lvl w:ilvl="8">
      <w:start w:val="1"/>
      <w:numFmt w:val="decimal"/>
      <w:pStyle w:val="TMLglL9"/>
      <w:isLgl/>
      <w:lvlText w:val="%1.%2.%3.%4.%5.%6.%7.%8.%9"/>
      <w:lvlJc w:val="left"/>
      <w:pPr>
        <w:tabs>
          <w:tab w:val="num" w:pos="2160"/>
        </w:tabs>
        <w:ind w:left="2160" w:hanging="2160"/>
      </w:pPr>
      <w:rPr>
        <w:rFonts w:ascii="Times New Roman" w:hAnsi="Times New Roman" w:cs="Times New Roman"/>
        <w:sz w:val="24"/>
      </w:rPr>
    </w:lvl>
  </w:abstractNum>
  <w:abstractNum w:abstractNumId="2">
    <w:nsid w:val="2D3A4E60"/>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9F87D44"/>
    <w:multiLevelType w:val="multilevel"/>
    <w:tmpl w:val="DAFC8D7A"/>
    <w:name w:val="TMGen-412056039-F"/>
    <w:styleLink w:val="TMGenList"/>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 w:ilvl="1">
      <w:start w:val="1"/>
      <w:numFmt w:val="lowerLetter"/>
      <w:pStyle w:val="TMGenL2"/>
      <w:lvlText w:val="(%2)"/>
      <w:lvlJc w:val="left"/>
      <w:pPr>
        <w:tabs>
          <w:tab w:val="num" w:pos="1440"/>
        </w:tabs>
        <w:ind w:left="1440" w:hanging="720"/>
      </w:pPr>
      <w:rPr>
        <w:rFonts w:ascii="Verdana" w:hAnsi="Verdana" w:cs="Times New Roman"/>
        <w:sz w:val="24"/>
      </w:rPr>
    </w:lvl>
    <w:lvl w:ilvl="2">
      <w:start w:val="1"/>
      <w:numFmt w:val="lowerRoman"/>
      <w:pStyle w:val="TMGenL3"/>
      <w:lvlText w:val="(%3)"/>
      <w:lvlJc w:val="right"/>
      <w:pPr>
        <w:tabs>
          <w:tab w:val="num" w:pos="2160"/>
        </w:tabs>
        <w:ind w:left="2160" w:hanging="432"/>
      </w:pPr>
      <w:rPr>
        <w:rFonts w:ascii="Verdana" w:hAnsi="Verdana" w:cs="Times New Roman"/>
        <w:sz w:val="24"/>
      </w:rPr>
    </w:lvl>
    <w:lvl w:ilvl="3">
      <w:start w:val="1"/>
      <w:numFmt w:val="upperLetter"/>
      <w:pStyle w:val="TMGenL4"/>
      <w:lvlText w:val="(%4)"/>
      <w:lvlJc w:val="left"/>
      <w:pPr>
        <w:tabs>
          <w:tab w:val="num" w:pos="2880"/>
        </w:tabs>
        <w:ind w:left="2880" w:hanging="720"/>
      </w:pPr>
      <w:rPr>
        <w:rFonts w:ascii="Verdana" w:hAnsi="Verdana" w:cs="Times New Roman"/>
        <w:sz w:val="24"/>
      </w:rPr>
    </w:lvl>
    <w:lvl w:ilvl="4">
      <w:start w:val="1"/>
      <w:numFmt w:val="upperRoman"/>
      <w:pStyle w:val="TMGenL5"/>
      <w:lvlText w:val="(%5)"/>
      <w:lvlJc w:val="right"/>
      <w:pPr>
        <w:tabs>
          <w:tab w:val="num" w:pos="3600"/>
        </w:tabs>
        <w:ind w:left="3600" w:hanging="432"/>
      </w:pPr>
      <w:rPr>
        <w:rFonts w:ascii="Verdana" w:hAnsi="Verdana" w:cs="Times New Roman"/>
        <w:sz w:val="24"/>
      </w:rPr>
    </w:lvl>
    <w:lvl w:ilvl="5">
      <w:start w:val="1"/>
      <w:numFmt w:val="decimal"/>
      <w:pStyle w:val="TMGenL6"/>
      <w:lvlText w:val="(%6)"/>
      <w:lvlJc w:val="left"/>
      <w:pPr>
        <w:tabs>
          <w:tab w:val="num" w:pos="4320"/>
        </w:tabs>
        <w:ind w:left="4320" w:hanging="720"/>
      </w:pPr>
      <w:rPr>
        <w:rFonts w:ascii="Verdana" w:hAnsi="Verdana" w:cs="Times New Roman"/>
        <w:sz w:val="24"/>
      </w:rPr>
    </w:lvl>
    <w:lvl w:ilvl="6">
      <w:start w:val="1"/>
      <w:numFmt w:val="lowerLetter"/>
      <w:pStyle w:val="TMGenL7"/>
      <w:lvlText w:val="%7)"/>
      <w:lvlJc w:val="left"/>
      <w:pPr>
        <w:tabs>
          <w:tab w:val="num" w:pos="5040"/>
        </w:tabs>
        <w:ind w:left="5040" w:hanging="720"/>
      </w:pPr>
      <w:rPr>
        <w:rFonts w:ascii="Verdana" w:hAnsi="Verdana" w:cs="Times New Roman"/>
        <w:sz w:val="24"/>
      </w:rPr>
    </w:lvl>
    <w:lvl w:ilvl="7">
      <w:start w:val="1"/>
      <w:numFmt w:val="lowerRoman"/>
      <w:pStyle w:val="TMGenL8"/>
      <w:lvlText w:val="%8)"/>
      <w:lvlJc w:val="right"/>
      <w:pPr>
        <w:tabs>
          <w:tab w:val="num" w:pos="5760"/>
        </w:tabs>
        <w:ind w:left="5760" w:hanging="432"/>
      </w:pPr>
      <w:rPr>
        <w:rFonts w:ascii="Verdana" w:hAnsi="Verdana" w:cs="Times New Roman"/>
        <w:sz w:val="24"/>
      </w:rPr>
    </w:lvl>
    <w:lvl w:ilvl="8">
      <w:start w:val="1"/>
      <w:numFmt w:val="decimal"/>
      <w:pStyle w:val="TMGenL9"/>
      <w:lvlText w:val="%9)"/>
      <w:lvlJc w:val="left"/>
      <w:pPr>
        <w:tabs>
          <w:tab w:val="num" w:pos="6480"/>
        </w:tabs>
        <w:ind w:left="6480" w:hanging="720"/>
      </w:pPr>
      <w:rPr>
        <w:rFonts w:ascii="Verdana" w:hAnsi="Verdana" w:cs="Times New Roman"/>
        <w:sz w:val="24"/>
      </w:rPr>
    </w:lvl>
  </w:abstractNum>
  <w:abstractNum w:abstractNumId="4">
    <w:nsid w:val="4E554CF7"/>
    <w:multiLevelType w:val="hybridMultilevel"/>
    <w:tmpl w:val="ACB41BDA"/>
    <w:name w:val="Unknown B-43097683B-X"/>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B4A7A34"/>
    <w:multiLevelType w:val="hybridMultilevel"/>
    <w:tmpl w:val="6E066A64"/>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B36505F"/>
    <w:multiLevelType w:val="hybridMultilevel"/>
    <w:tmpl w:val="D95AEE4E"/>
    <w:name w:val="Unknown A-43097696A-X"/>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decimal"/>
        <w:lvlRestart w:val="0"/>
        <w:pStyle w:val="TMLglL1"/>
        <w:isLgl/>
        <w:lvlText w:val="%1."/>
        <w:lvlJc w:val="left"/>
        <w:pPr>
          <w:tabs>
            <w:tab w:val="num" w:pos="720"/>
          </w:tabs>
          <w:ind w:left="720" w:hanging="720"/>
        </w:pPr>
        <w:rPr>
          <w:rFonts w:ascii="Times New Roman" w:hAnsi="Times New Roman" w:cs="Times New Roman"/>
          <w:b w:val="0"/>
          <w:sz w:val="24"/>
        </w:rPr>
      </w:lvl>
    </w:lvlOverride>
    <w:lvlOverride w:ilvl="1">
      <w:lvl w:ilvl="1">
        <w:start w:val="1"/>
        <w:numFmt w:val="decimal"/>
        <w:pStyle w:val="TMLglL2"/>
        <w:isLgl/>
        <w:lvlText w:val="%1.%2"/>
        <w:lvlJc w:val="left"/>
        <w:pPr>
          <w:tabs>
            <w:tab w:val="num" w:pos="720"/>
          </w:tabs>
          <w:ind w:left="720" w:hanging="720"/>
        </w:pPr>
        <w:rPr>
          <w:rFonts w:ascii="Times New Roman" w:hAnsi="Times New Roman" w:cs="Times New Roman"/>
          <w:b w:val="0"/>
          <w:i w:val="0"/>
          <w:sz w:val="24"/>
        </w:rPr>
      </w:lvl>
    </w:lvlOverride>
    <w:lvlOverride w:ilvl="2">
      <w:lvl w:ilvl="2">
        <w:start w:val="1"/>
        <w:numFmt w:val="decimal"/>
        <w:pStyle w:val="TMLglL3"/>
        <w:isLgl/>
        <w:lvlText w:val="%1.%2.%3"/>
        <w:lvlJc w:val="left"/>
        <w:pPr>
          <w:tabs>
            <w:tab w:val="num" w:pos="720"/>
          </w:tabs>
          <w:ind w:left="720" w:hanging="720"/>
        </w:pPr>
        <w:rPr>
          <w:rFonts w:ascii="Times New Roman" w:hAnsi="Times New Roman" w:cs="Times New Roman"/>
          <w:i w:val="0"/>
          <w:sz w:val="24"/>
        </w:rPr>
      </w:lvl>
    </w:lvlOverride>
  </w:num>
  <w:num w:numId="2">
    <w:abstractNumId w:val="1"/>
  </w:num>
  <w:num w:numId="3">
    <w:abstractNumId w:val="2"/>
  </w:num>
  <w:num w:numId="4">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num>
  <w:num w:numId="5">
    <w:abstractNumId w:val="3"/>
    <w:lvlOverride w:ilvl="0">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lvl w:ilvl="8">
        <w:start w:val="1"/>
        <w:numFmt w:val="decimal"/>
        <w:pStyle w:val="TMGenL9"/>
        <w:lvlText w:val="%9)"/>
        <w:lvlJc w:val="left"/>
        <w:pPr>
          <w:tabs>
            <w:tab w:val="num" w:pos="6480"/>
          </w:tabs>
          <w:ind w:left="6480" w:hanging="720"/>
        </w:pPr>
        <w:rPr>
          <w:rFonts w:ascii="Verdana" w:hAnsi="Verdana" w:cs="Times New Roman"/>
          <w:sz w:val="24"/>
        </w:rPr>
      </w:lvl>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b w:val="0"/>
          <w:i w:val="0"/>
          <w:caps w:val="0"/>
          <w:smallCaps w:val="0"/>
          <w:color w:val="000000"/>
          <w:sz w:val="22"/>
          <w:u w:val="none"/>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2"/>
        </w:rPr>
      </w:lvl>
    </w:lvlOverride>
    <w:lvlOverride w:ilvl="2">
      <w:startOverride w:val="1"/>
      <w:lvl w:ilvl="2">
        <w:start w:val="1"/>
        <w:numFmt w:val="decimal"/>
        <w:pStyle w:val="TMGenL3"/>
        <w:lvlText w:val=""/>
        <w:lvlJc w:val="left"/>
      </w:lvl>
    </w:lvlOverride>
  </w:num>
  <w:num w:numId="8">
    <w:abstractNumId w:val="4"/>
  </w:num>
  <w:num w:numId="9">
    <w:abstractNumId w:val="3"/>
    <w:lvlOverride w:ilvl="0">
      <w:startOverride w:val="1"/>
      <w:lvl w:ilvl="0">
        <w:start w:val="1"/>
        <w:numFmt w:val="decimal"/>
        <w:lvlRestart w:val="0"/>
        <w:pStyle w:val="TMGenL1"/>
        <w:lvlText w:val="%1."/>
        <w:lvlJc w:val="left"/>
        <w:pPr>
          <w:tabs>
            <w:tab w:val="num" w:pos="720"/>
          </w:tabs>
          <w:ind w:left="720" w:hanging="720"/>
        </w:pPr>
        <w:rPr>
          <w:rFonts w:ascii="Verdana" w:hAnsi="Verdana" w:cs="Times New Roman" w:hint="default"/>
          <w:sz w:val="22"/>
        </w:rPr>
      </w:lvl>
    </w:lvlOverride>
    <w:lvlOverride w:ilvl="1">
      <w:startOverride w:val="1"/>
      <w:lvl w:ilvl="1">
        <w:start w:val="1"/>
        <w:numFmt w:val="lowerLetter"/>
        <w:pStyle w:val="TMGenL2"/>
        <w:lvlText w:val="(%2)"/>
        <w:lvlJc w:val="left"/>
        <w:pPr>
          <w:tabs>
            <w:tab w:val="num" w:pos="1440"/>
          </w:tabs>
          <w:ind w:left="1440" w:hanging="720"/>
        </w:pPr>
        <w:rPr>
          <w:rFonts w:ascii="Verdana" w:hAnsi="Verdana" w:cs="Times New Roman"/>
          <w:sz w:val="24"/>
        </w:rPr>
      </w:lvl>
    </w:lvlOverride>
    <w:lvlOverride w:ilvl="2">
      <w:startOverride w:val="1"/>
      <w:lvl w:ilvl="2">
        <w:start w:val="1"/>
        <w:numFmt w:val="lowerRoman"/>
        <w:pStyle w:val="TMGenL3"/>
        <w:lvlText w:val="(%3)"/>
        <w:lvlJc w:val="right"/>
        <w:pPr>
          <w:tabs>
            <w:tab w:val="num" w:pos="2160"/>
          </w:tabs>
          <w:ind w:left="2160" w:hanging="432"/>
        </w:pPr>
        <w:rPr>
          <w:rFonts w:ascii="Verdana" w:hAnsi="Verdana" w:cs="Times New Roman"/>
          <w:sz w:val="24"/>
        </w:rPr>
      </w:lvl>
    </w:lvlOverride>
    <w:lvlOverride w:ilvl="3">
      <w:startOverride w:val="1"/>
      <w:lvl w:ilvl="3">
        <w:start w:val="1"/>
        <w:numFmt w:val="upperLetter"/>
        <w:pStyle w:val="TMGenL4"/>
        <w:lvlText w:val="(%4)"/>
        <w:lvlJc w:val="left"/>
        <w:pPr>
          <w:tabs>
            <w:tab w:val="num" w:pos="2880"/>
          </w:tabs>
          <w:ind w:left="2880" w:hanging="720"/>
        </w:pPr>
        <w:rPr>
          <w:rFonts w:ascii="Verdana" w:hAnsi="Verdana" w:cs="Times New Roman"/>
          <w:sz w:val="24"/>
        </w:rPr>
      </w:lvl>
    </w:lvlOverride>
    <w:lvlOverride w:ilvl="4">
      <w:startOverride w:val="1"/>
      <w:lvl w:ilvl="4">
        <w:start w:val="1"/>
        <w:numFmt w:val="upperRoman"/>
        <w:pStyle w:val="TMGenL5"/>
        <w:lvlText w:val="(%5)"/>
        <w:lvlJc w:val="right"/>
        <w:pPr>
          <w:tabs>
            <w:tab w:val="num" w:pos="3600"/>
          </w:tabs>
          <w:ind w:left="3600" w:hanging="432"/>
        </w:pPr>
        <w:rPr>
          <w:rFonts w:ascii="Verdana" w:hAnsi="Verdana" w:cs="Times New Roman"/>
          <w:sz w:val="24"/>
        </w:rPr>
      </w:lvl>
    </w:lvlOverride>
    <w:lvlOverride w:ilvl="5">
      <w:startOverride w:val="1"/>
      <w:lvl w:ilvl="5">
        <w:start w:val="1"/>
        <w:numFmt w:val="decimal"/>
        <w:pStyle w:val="TMGenL6"/>
        <w:lvlText w:val="(%6)"/>
        <w:lvlJc w:val="left"/>
        <w:pPr>
          <w:tabs>
            <w:tab w:val="num" w:pos="4320"/>
          </w:tabs>
          <w:ind w:left="4320" w:hanging="720"/>
        </w:pPr>
        <w:rPr>
          <w:rFonts w:ascii="Verdana" w:hAnsi="Verdana" w:cs="Times New Roman"/>
          <w:sz w:val="24"/>
        </w:rPr>
      </w:lvl>
    </w:lvlOverride>
    <w:lvlOverride w:ilvl="6">
      <w:startOverride w:val="1"/>
      <w:lvl w:ilvl="6">
        <w:start w:val="1"/>
        <w:numFmt w:val="lowerLetter"/>
        <w:pStyle w:val="TMGenL7"/>
        <w:lvlText w:val="%7)"/>
        <w:lvlJc w:val="left"/>
        <w:pPr>
          <w:tabs>
            <w:tab w:val="num" w:pos="5040"/>
          </w:tabs>
          <w:ind w:left="5040" w:hanging="720"/>
        </w:pPr>
        <w:rPr>
          <w:rFonts w:ascii="Verdana" w:hAnsi="Verdana" w:cs="Times New Roman"/>
          <w:sz w:val="24"/>
        </w:rPr>
      </w:lvl>
    </w:lvlOverride>
    <w:lvlOverride w:ilvl="7">
      <w:startOverride w:val="1"/>
      <w:lvl w:ilvl="7">
        <w:start w:val="1"/>
        <w:numFmt w:val="lowerRoman"/>
        <w:pStyle w:val="TMGenL8"/>
        <w:lvlText w:val="%8)"/>
        <w:lvlJc w:val="right"/>
        <w:pPr>
          <w:tabs>
            <w:tab w:val="num" w:pos="5760"/>
          </w:tabs>
          <w:ind w:left="5760" w:hanging="432"/>
        </w:pPr>
        <w:rPr>
          <w:rFonts w:ascii="Verdana" w:hAnsi="Verdana" w:cs="Times New Roman"/>
          <w:sz w:val="24"/>
        </w:rPr>
      </w:lvl>
    </w:lvlOverride>
    <w:lvlOverride w:ilvl="8">
      <w:startOverride w:val="1"/>
      <w:lvl w:ilvl="8">
        <w:start w:val="1"/>
        <w:numFmt w:val="decimal"/>
        <w:pStyle w:val="TMGenL9"/>
        <w:lvlText w:val="%9)"/>
        <w:lvlJc w:val="left"/>
        <w:pPr>
          <w:tabs>
            <w:tab w:val="num" w:pos="6480"/>
          </w:tabs>
          <w:ind w:left="6480" w:hanging="720"/>
        </w:pPr>
        <w:rPr>
          <w:rFonts w:ascii="Verdana" w:hAnsi="Verdana" w:cs="Times New Roman"/>
          <w:sz w:val="24"/>
        </w:rPr>
      </w:lvl>
    </w:lvlOverride>
  </w:num>
  <w:num w:numId="10">
    <w:abstractNumId w:val="3"/>
  </w:num>
  <w:num w:numId="11">
    <w:abstractNumId w:val="0"/>
  </w:num>
  <w:num w:numId="12">
    <w:abstractNumId w:val="6"/>
  </w:num>
  <w:num w:numId="1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nfowareActiveNumbering" w:val="412056039"/>
    <w:docVar w:name="InfowareListDefs" w:val="TMGen-412056039-TMGen L-1-9-F"/>
    <w:docVar w:name="InfowareListDefsFriendly" w:val=".General 1. (a) (i)"/>
  </w:docVars>
  <w:rsids>
    <w:rsidRoot w:val="00957B7C"/>
    <w:rsid w:val="00013812"/>
    <w:rsid w:val="000276B0"/>
    <w:rsid w:val="00031432"/>
    <w:rsid w:val="00055016"/>
    <w:rsid w:val="00064046"/>
    <w:rsid w:val="000754C6"/>
    <w:rsid w:val="00086D95"/>
    <w:rsid w:val="000B1CF7"/>
    <w:rsid w:val="000B5682"/>
    <w:rsid w:val="000C1172"/>
    <w:rsid w:val="000D2F1C"/>
    <w:rsid w:val="000E78C6"/>
    <w:rsid w:val="000F6179"/>
    <w:rsid w:val="000F6901"/>
    <w:rsid w:val="0011187F"/>
    <w:rsid w:val="001150DA"/>
    <w:rsid w:val="00117C11"/>
    <w:rsid w:val="00160292"/>
    <w:rsid w:val="0017793D"/>
    <w:rsid w:val="00180EBF"/>
    <w:rsid w:val="001843AE"/>
    <w:rsid w:val="001C5482"/>
    <w:rsid w:val="001D1675"/>
    <w:rsid w:val="001F374A"/>
    <w:rsid w:val="00200BD6"/>
    <w:rsid w:val="002014A6"/>
    <w:rsid w:val="002138E6"/>
    <w:rsid w:val="00226F58"/>
    <w:rsid w:val="00227B82"/>
    <w:rsid w:val="0024225C"/>
    <w:rsid w:val="0025166B"/>
    <w:rsid w:val="00270D7D"/>
    <w:rsid w:val="002C14DD"/>
    <w:rsid w:val="002C165F"/>
    <w:rsid w:val="0031251A"/>
    <w:rsid w:val="00317B2F"/>
    <w:rsid w:val="00330E6E"/>
    <w:rsid w:val="00341212"/>
    <w:rsid w:val="00346E26"/>
    <w:rsid w:val="0035363E"/>
    <w:rsid w:val="003614D1"/>
    <w:rsid w:val="0037085F"/>
    <w:rsid w:val="00373038"/>
    <w:rsid w:val="0037703F"/>
    <w:rsid w:val="0038125E"/>
    <w:rsid w:val="00383765"/>
    <w:rsid w:val="003845F0"/>
    <w:rsid w:val="00387D67"/>
    <w:rsid w:val="003C435F"/>
    <w:rsid w:val="003C6A21"/>
    <w:rsid w:val="003D7249"/>
    <w:rsid w:val="003F1C73"/>
    <w:rsid w:val="004056F9"/>
    <w:rsid w:val="00426BE8"/>
    <w:rsid w:val="00444558"/>
    <w:rsid w:val="00444ABE"/>
    <w:rsid w:val="004A355D"/>
    <w:rsid w:val="004C1BA1"/>
    <w:rsid w:val="004E7F6A"/>
    <w:rsid w:val="00520223"/>
    <w:rsid w:val="00530186"/>
    <w:rsid w:val="00530F01"/>
    <w:rsid w:val="0055173C"/>
    <w:rsid w:val="00573172"/>
    <w:rsid w:val="00595DE5"/>
    <w:rsid w:val="005A0C3B"/>
    <w:rsid w:val="005B2EBB"/>
    <w:rsid w:val="005B467D"/>
    <w:rsid w:val="005C0B58"/>
    <w:rsid w:val="005D769F"/>
    <w:rsid w:val="00600E33"/>
    <w:rsid w:val="006303C1"/>
    <w:rsid w:val="00633A3C"/>
    <w:rsid w:val="00637BCD"/>
    <w:rsid w:val="00660CE1"/>
    <w:rsid w:val="00664491"/>
    <w:rsid w:val="00667691"/>
    <w:rsid w:val="00671485"/>
    <w:rsid w:val="00674684"/>
    <w:rsid w:val="00691F38"/>
    <w:rsid w:val="00692B75"/>
    <w:rsid w:val="006B32C1"/>
    <w:rsid w:val="006B49B4"/>
    <w:rsid w:val="006C2FFA"/>
    <w:rsid w:val="006C7505"/>
    <w:rsid w:val="006F27EB"/>
    <w:rsid w:val="00700F68"/>
    <w:rsid w:val="00702BBA"/>
    <w:rsid w:val="00710E77"/>
    <w:rsid w:val="00720709"/>
    <w:rsid w:val="007363BB"/>
    <w:rsid w:val="0074135F"/>
    <w:rsid w:val="007469D6"/>
    <w:rsid w:val="0075027E"/>
    <w:rsid w:val="00754487"/>
    <w:rsid w:val="00757E4B"/>
    <w:rsid w:val="007706FD"/>
    <w:rsid w:val="00775BFF"/>
    <w:rsid w:val="00780144"/>
    <w:rsid w:val="0078581B"/>
    <w:rsid w:val="00786BAF"/>
    <w:rsid w:val="007B0038"/>
    <w:rsid w:val="007E4E1D"/>
    <w:rsid w:val="008050B7"/>
    <w:rsid w:val="00820980"/>
    <w:rsid w:val="008247E9"/>
    <w:rsid w:val="00840C3B"/>
    <w:rsid w:val="008419D0"/>
    <w:rsid w:val="0084772E"/>
    <w:rsid w:val="008577C6"/>
    <w:rsid w:val="00875443"/>
    <w:rsid w:val="00882DD6"/>
    <w:rsid w:val="008841DD"/>
    <w:rsid w:val="00884729"/>
    <w:rsid w:val="008926AA"/>
    <w:rsid w:val="008B4007"/>
    <w:rsid w:val="008C5373"/>
    <w:rsid w:val="008C5F20"/>
    <w:rsid w:val="008D7D15"/>
    <w:rsid w:val="008E0E45"/>
    <w:rsid w:val="008E683C"/>
    <w:rsid w:val="008F3D43"/>
    <w:rsid w:val="0095257B"/>
    <w:rsid w:val="00954E19"/>
    <w:rsid w:val="00957B7C"/>
    <w:rsid w:val="00973361"/>
    <w:rsid w:val="009761C9"/>
    <w:rsid w:val="00986CF3"/>
    <w:rsid w:val="009B55F6"/>
    <w:rsid w:val="009D58A1"/>
    <w:rsid w:val="009F26B8"/>
    <w:rsid w:val="00A052B7"/>
    <w:rsid w:val="00A264E3"/>
    <w:rsid w:val="00A36693"/>
    <w:rsid w:val="00A45D52"/>
    <w:rsid w:val="00A510C5"/>
    <w:rsid w:val="00A5217C"/>
    <w:rsid w:val="00A634B3"/>
    <w:rsid w:val="00A954C6"/>
    <w:rsid w:val="00AA3A56"/>
    <w:rsid w:val="00AD0A8A"/>
    <w:rsid w:val="00AD4376"/>
    <w:rsid w:val="00AF0A91"/>
    <w:rsid w:val="00B052AB"/>
    <w:rsid w:val="00B243AA"/>
    <w:rsid w:val="00B26D8B"/>
    <w:rsid w:val="00B61227"/>
    <w:rsid w:val="00B67BE9"/>
    <w:rsid w:val="00B7759D"/>
    <w:rsid w:val="00B86B15"/>
    <w:rsid w:val="00BA5414"/>
    <w:rsid w:val="00BC2E3C"/>
    <w:rsid w:val="00BD318C"/>
    <w:rsid w:val="00BE0A9A"/>
    <w:rsid w:val="00C052BE"/>
    <w:rsid w:val="00C1415B"/>
    <w:rsid w:val="00C218CA"/>
    <w:rsid w:val="00C25DEC"/>
    <w:rsid w:val="00C26E3B"/>
    <w:rsid w:val="00C3440B"/>
    <w:rsid w:val="00C40912"/>
    <w:rsid w:val="00C45AB2"/>
    <w:rsid w:val="00C5151F"/>
    <w:rsid w:val="00C557D6"/>
    <w:rsid w:val="00C57528"/>
    <w:rsid w:val="00C64AD3"/>
    <w:rsid w:val="00CB009A"/>
    <w:rsid w:val="00CC1D60"/>
    <w:rsid w:val="00CD605A"/>
    <w:rsid w:val="00CD7DBB"/>
    <w:rsid w:val="00CE61C7"/>
    <w:rsid w:val="00CF2086"/>
    <w:rsid w:val="00CF396F"/>
    <w:rsid w:val="00D14AE4"/>
    <w:rsid w:val="00D274CD"/>
    <w:rsid w:val="00D322AF"/>
    <w:rsid w:val="00D4632E"/>
    <w:rsid w:val="00D471BC"/>
    <w:rsid w:val="00D47E39"/>
    <w:rsid w:val="00D64699"/>
    <w:rsid w:val="00D77926"/>
    <w:rsid w:val="00D9277E"/>
    <w:rsid w:val="00DA454E"/>
    <w:rsid w:val="00DA6754"/>
    <w:rsid w:val="00DE2BC6"/>
    <w:rsid w:val="00DE6E28"/>
    <w:rsid w:val="00E03B2D"/>
    <w:rsid w:val="00E175F8"/>
    <w:rsid w:val="00E200BE"/>
    <w:rsid w:val="00E22F45"/>
    <w:rsid w:val="00E308FF"/>
    <w:rsid w:val="00E30F93"/>
    <w:rsid w:val="00E3303A"/>
    <w:rsid w:val="00E41CEA"/>
    <w:rsid w:val="00E46E63"/>
    <w:rsid w:val="00E72190"/>
    <w:rsid w:val="00EB0DAE"/>
    <w:rsid w:val="00EB420F"/>
    <w:rsid w:val="00EC1EA7"/>
    <w:rsid w:val="00EC4BFE"/>
    <w:rsid w:val="00ED3DBD"/>
    <w:rsid w:val="00ED63E7"/>
    <w:rsid w:val="00ED77F7"/>
    <w:rsid w:val="00EE229A"/>
    <w:rsid w:val="00EF7937"/>
    <w:rsid w:val="00F02C6E"/>
    <w:rsid w:val="00F17F42"/>
    <w:rsid w:val="00F23118"/>
    <w:rsid w:val="00F3358A"/>
    <w:rsid w:val="00F46A94"/>
    <w:rsid w:val="00F53D16"/>
    <w:rsid w:val="00F66122"/>
    <w:rsid w:val="00F80D15"/>
    <w:rsid w:val="00F8521D"/>
    <w:rsid w:val="00F85D2B"/>
    <w:rsid w:val="00FC20FB"/>
    <w:rsid w:val="00FC379D"/>
    <w:rsid w:val="00FE72E4"/>
    <w:rsid w:val="00FE77F6"/>
    <w:rsid w:val="00FF0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A2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B7C"/>
  </w:style>
  <w:style w:type="paragraph" w:styleId="Heading4">
    <w:name w:val="heading 4"/>
    <w:basedOn w:val="Normal"/>
    <w:link w:val="Heading4Char"/>
    <w:uiPriority w:val="9"/>
    <w:qFormat/>
    <w:rsid w:val="007706FD"/>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57B7C"/>
    <w:pPr>
      <w:tabs>
        <w:tab w:val="left" w:pos="720"/>
      </w:tabs>
      <w:ind w:left="720" w:hanging="720"/>
      <w:jc w:val="both"/>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957B7C"/>
    <w:rPr>
      <w:rFonts w:ascii="Times New Roman" w:eastAsia="Times New Roman" w:hAnsi="Times New Roman" w:cs="Times New Roman"/>
      <w:sz w:val="20"/>
      <w:szCs w:val="20"/>
    </w:rPr>
  </w:style>
  <w:style w:type="character" w:styleId="FootnoteReference">
    <w:name w:val="footnote reference"/>
    <w:basedOn w:val="DefaultParagraphFont"/>
    <w:rsid w:val="00957B7C"/>
    <w:rPr>
      <w:vertAlign w:val="superscript"/>
    </w:rPr>
  </w:style>
  <w:style w:type="paragraph" w:customStyle="1" w:styleId="TMLglL1">
    <w:name w:val="TMLgl L1"/>
    <w:basedOn w:val="Normal"/>
    <w:rsid w:val="00957B7C"/>
    <w:pPr>
      <w:numPr>
        <w:numId w:val="1"/>
      </w:numPr>
      <w:spacing w:after="240"/>
      <w:jc w:val="both"/>
      <w:outlineLvl w:val="0"/>
    </w:pPr>
    <w:rPr>
      <w:rFonts w:ascii="Times New Roman" w:eastAsia="Times New Roman" w:hAnsi="Times New Roman"/>
    </w:rPr>
  </w:style>
  <w:style w:type="paragraph" w:customStyle="1" w:styleId="TMLglL2">
    <w:name w:val="TMLgl L2"/>
    <w:basedOn w:val="Normal"/>
    <w:rsid w:val="00957B7C"/>
    <w:pPr>
      <w:numPr>
        <w:ilvl w:val="1"/>
        <w:numId w:val="1"/>
      </w:numPr>
      <w:spacing w:after="240"/>
      <w:jc w:val="both"/>
      <w:outlineLvl w:val="1"/>
    </w:pPr>
    <w:rPr>
      <w:rFonts w:ascii="Times New Roman" w:eastAsia="Times New Roman" w:hAnsi="Times New Roman"/>
    </w:rPr>
  </w:style>
  <w:style w:type="paragraph" w:customStyle="1" w:styleId="TMLglL3">
    <w:name w:val="TMLgl L3"/>
    <w:basedOn w:val="Normal"/>
    <w:rsid w:val="00957B7C"/>
    <w:pPr>
      <w:numPr>
        <w:ilvl w:val="2"/>
        <w:numId w:val="1"/>
      </w:numPr>
      <w:spacing w:after="240"/>
      <w:jc w:val="both"/>
      <w:outlineLvl w:val="2"/>
    </w:pPr>
    <w:rPr>
      <w:rFonts w:ascii="Times New Roman" w:eastAsia="Times New Roman" w:hAnsi="Times New Roman"/>
    </w:rPr>
  </w:style>
  <w:style w:type="paragraph" w:customStyle="1" w:styleId="TMLglL4">
    <w:name w:val="TMLgl L4"/>
    <w:basedOn w:val="Normal"/>
    <w:rsid w:val="00957B7C"/>
    <w:pPr>
      <w:numPr>
        <w:ilvl w:val="3"/>
        <w:numId w:val="1"/>
      </w:numPr>
      <w:spacing w:after="240"/>
      <w:jc w:val="both"/>
      <w:outlineLvl w:val="3"/>
    </w:pPr>
    <w:rPr>
      <w:rFonts w:ascii="Times New Roman" w:eastAsia="Times New Roman" w:hAnsi="Times New Roman"/>
    </w:rPr>
  </w:style>
  <w:style w:type="paragraph" w:customStyle="1" w:styleId="TMLglL5">
    <w:name w:val="TMLgl L5"/>
    <w:basedOn w:val="Normal"/>
    <w:rsid w:val="00957B7C"/>
    <w:pPr>
      <w:numPr>
        <w:ilvl w:val="4"/>
        <w:numId w:val="1"/>
      </w:numPr>
      <w:spacing w:after="240"/>
      <w:jc w:val="both"/>
    </w:pPr>
    <w:rPr>
      <w:rFonts w:ascii="Times New Roman" w:eastAsia="Times New Roman" w:hAnsi="Times New Roman"/>
    </w:rPr>
  </w:style>
  <w:style w:type="paragraph" w:customStyle="1" w:styleId="TMLglL6">
    <w:name w:val="TMLgl L6"/>
    <w:basedOn w:val="Normal"/>
    <w:rsid w:val="00957B7C"/>
    <w:pPr>
      <w:numPr>
        <w:ilvl w:val="5"/>
        <w:numId w:val="1"/>
      </w:numPr>
      <w:spacing w:after="240"/>
      <w:jc w:val="both"/>
    </w:pPr>
    <w:rPr>
      <w:rFonts w:ascii="Times New Roman" w:eastAsia="Times New Roman" w:hAnsi="Times New Roman"/>
    </w:rPr>
  </w:style>
  <w:style w:type="paragraph" w:customStyle="1" w:styleId="TMLglL7">
    <w:name w:val="TMLgl L7"/>
    <w:basedOn w:val="Normal"/>
    <w:rsid w:val="00957B7C"/>
    <w:pPr>
      <w:numPr>
        <w:ilvl w:val="6"/>
        <w:numId w:val="1"/>
      </w:numPr>
      <w:spacing w:after="240"/>
      <w:jc w:val="both"/>
    </w:pPr>
    <w:rPr>
      <w:rFonts w:ascii="Times New Roman" w:eastAsia="Times New Roman" w:hAnsi="Times New Roman"/>
    </w:rPr>
  </w:style>
  <w:style w:type="paragraph" w:customStyle="1" w:styleId="TMLglL8">
    <w:name w:val="TMLgl L8"/>
    <w:basedOn w:val="Normal"/>
    <w:rsid w:val="00957B7C"/>
    <w:pPr>
      <w:numPr>
        <w:ilvl w:val="7"/>
        <w:numId w:val="1"/>
      </w:numPr>
      <w:spacing w:after="240"/>
      <w:jc w:val="both"/>
    </w:pPr>
    <w:rPr>
      <w:rFonts w:ascii="Times New Roman" w:eastAsia="Times New Roman" w:hAnsi="Times New Roman"/>
    </w:rPr>
  </w:style>
  <w:style w:type="paragraph" w:customStyle="1" w:styleId="TMLglL9">
    <w:name w:val="TMLgl L9"/>
    <w:basedOn w:val="Normal"/>
    <w:rsid w:val="00957B7C"/>
    <w:pPr>
      <w:numPr>
        <w:ilvl w:val="8"/>
        <w:numId w:val="1"/>
      </w:numPr>
      <w:spacing w:after="240"/>
      <w:jc w:val="both"/>
    </w:pPr>
    <w:rPr>
      <w:rFonts w:ascii="Times New Roman" w:eastAsia="Times New Roman" w:hAnsi="Times New Roman"/>
    </w:rPr>
  </w:style>
  <w:style w:type="numbering" w:customStyle="1" w:styleId="TMLglList">
    <w:name w:val="TMLgl List"/>
    <w:basedOn w:val="NoList"/>
    <w:rsid w:val="00957B7C"/>
    <w:pPr>
      <w:numPr>
        <w:numId w:val="2"/>
      </w:numPr>
    </w:pPr>
  </w:style>
  <w:style w:type="paragraph" w:styleId="NormalWeb">
    <w:name w:val="Normal (Web)"/>
    <w:basedOn w:val="Normal"/>
    <w:uiPriority w:val="99"/>
    <w:unhideWhenUsed/>
    <w:rsid w:val="00957B7C"/>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57B7C"/>
    <w:rPr>
      <w:color w:val="0000FF"/>
      <w:u w:val="single"/>
    </w:rPr>
  </w:style>
  <w:style w:type="character" w:styleId="FollowedHyperlink">
    <w:name w:val="FollowedHyperlink"/>
    <w:basedOn w:val="DefaultParagraphFont"/>
    <w:uiPriority w:val="99"/>
    <w:semiHidden/>
    <w:unhideWhenUsed/>
    <w:rsid w:val="00957B7C"/>
    <w:rPr>
      <w:color w:val="800080" w:themeColor="followedHyperlink"/>
      <w:u w:val="single"/>
    </w:rPr>
  </w:style>
  <w:style w:type="character" w:styleId="CommentReference">
    <w:name w:val="annotation reference"/>
    <w:basedOn w:val="DefaultParagraphFont"/>
    <w:uiPriority w:val="99"/>
    <w:semiHidden/>
    <w:unhideWhenUsed/>
    <w:rsid w:val="00B61227"/>
    <w:rPr>
      <w:sz w:val="16"/>
      <w:szCs w:val="16"/>
    </w:rPr>
  </w:style>
  <w:style w:type="paragraph" w:styleId="CommentText">
    <w:name w:val="annotation text"/>
    <w:basedOn w:val="Normal"/>
    <w:link w:val="CommentTextChar"/>
    <w:uiPriority w:val="99"/>
    <w:semiHidden/>
    <w:unhideWhenUsed/>
    <w:rsid w:val="00B61227"/>
    <w:rPr>
      <w:sz w:val="20"/>
      <w:szCs w:val="20"/>
    </w:rPr>
  </w:style>
  <w:style w:type="character" w:customStyle="1" w:styleId="CommentTextChar">
    <w:name w:val="Comment Text Char"/>
    <w:basedOn w:val="DefaultParagraphFont"/>
    <w:link w:val="CommentText"/>
    <w:uiPriority w:val="99"/>
    <w:semiHidden/>
    <w:rsid w:val="00B61227"/>
    <w:rPr>
      <w:sz w:val="20"/>
      <w:szCs w:val="20"/>
    </w:rPr>
  </w:style>
  <w:style w:type="paragraph" w:styleId="CommentSubject">
    <w:name w:val="annotation subject"/>
    <w:basedOn w:val="CommentText"/>
    <w:next w:val="CommentText"/>
    <w:link w:val="CommentSubjectChar"/>
    <w:uiPriority w:val="99"/>
    <w:semiHidden/>
    <w:unhideWhenUsed/>
    <w:rsid w:val="00B61227"/>
    <w:rPr>
      <w:b/>
      <w:bCs/>
    </w:rPr>
  </w:style>
  <w:style w:type="character" w:customStyle="1" w:styleId="CommentSubjectChar">
    <w:name w:val="Comment Subject Char"/>
    <w:basedOn w:val="CommentTextChar"/>
    <w:link w:val="CommentSubject"/>
    <w:uiPriority w:val="99"/>
    <w:semiHidden/>
    <w:rsid w:val="00B61227"/>
    <w:rPr>
      <w:b/>
      <w:bCs/>
      <w:sz w:val="20"/>
      <w:szCs w:val="20"/>
    </w:rPr>
  </w:style>
  <w:style w:type="paragraph" w:styleId="BalloonText">
    <w:name w:val="Balloon Text"/>
    <w:basedOn w:val="Normal"/>
    <w:link w:val="BalloonTextChar"/>
    <w:uiPriority w:val="99"/>
    <w:semiHidden/>
    <w:unhideWhenUsed/>
    <w:rsid w:val="00B61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227"/>
    <w:rPr>
      <w:rFonts w:ascii="Segoe UI" w:hAnsi="Segoe UI" w:cs="Segoe UI"/>
      <w:sz w:val="18"/>
      <w:szCs w:val="18"/>
    </w:rPr>
  </w:style>
  <w:style w:type="paragraph" w:styleId="ListParagraph">
    <w:name w:val="List Paragraph"/>
    <w:basedOn w:val="Normal"/>
    <w:uiPriority w:val="34"/>
    <w:qFormat/>
    <w:rsid w:val="006303C1"/>
    <w:pPr>
      <w:spacing w:before="200" w:after="200" w:line="276" w:lineRule="auto"/>
      <w:ind w:left="720"/>
      <w:contextualSpacing/>
    </w:pPr>
    <w:rPr>
      <w:sz w:val="20"/>
      <w:szCs w:val="20"/>
      <w:lang w:eastAsia="en-CA"/>
    </w:rPr>
  </w:style>
  <w:style w:type="paragraph" w:customStyle="1" w:styleId="Standard">
    <w:name w:val="Standard"/>
    <w:rsid w:val="006303C1"/>
    <w:pPr>
      <w:spacing w:before="120" w:after="120"/>
      <w:ind w:firstLine="720"/>
    </w:pPr>
    <w:rPr>
      <w:rFonts w:ascii="Palatino Linotype" w:hAnsi="Palatino Linotype"/>
      <w:sz w:val="22"/>
      <w:szCs w:val="22"/>
    </w:rPr>
  </w:style>
  <w:style w:type="numbering" w:styleId="1ai">
    <w:name w:val="Outline List 1"/>
    <w:basedOn w:val="NoList"/>
    <w:uiPriority w:val="99"/>
    <w:semiHidden/>
    <w:unhideWhenUsed/>
    <w:rsid w:val="008841DD"/>
    <w:pPr>
      <w:numPr>
        <w:numId w:val="3"/>
      </w:numPr>
    </w:pPr>
  </w:style>
  <w:style w:type="paragraph" w:customStyle="1" w:styleId="ysection-e">
    <w:name w:val="ysection-e"/>
    <w:basedOn w:val="Normal"/>
    <w:rsid w:val="008841DD"/>
    <w:pPr>
      <w:spacing w:before="100" w:beforeAutospacing="1" w:after="100" w:afterAutospacing="1"/>
    </w:pPr>
    <w:rPr>
      <w:rFonts w:ascii="Times" w:hAnsi="Times"/>
      <w:sz w:val="20"/>
      <w:szCs w:val="20"/>
    </w:rPr>
  </w:style>
  <w:style w:type="paragraph" w:styleId="Footer">
    <w:name w:val="footer"/>
    <w:basedOn w:val="Normal"/>
    <w:link w:val="FooterChar"/>
    <w:uiPriority w:val="99"/>
    <w:unhideWhenUsed/>
    <w:rsid w:val="008841DD"/>
    <w:pPr>
      <w:tabs>
        <w:tab w:val="center" w:pos="4320"/>
        <w:tab w:val="right" w:pos="8640"/>
      </w:tabs>
    </w:pPr>
  </w:style>
  <w:style w:type="character" w:customStyle="1" w:styleId="FooterChar">
    <w:name w:val="Footer Char"/>
    <w:basedOn w:val="DefaultParagraphFont"/>
    <w:link w:val="Footer"/>
    <w:uiPriority w:val="99"/>
    <w:rsid w:val="008841DD"/>
  </w:style>
  <w:style w:type="paragraph" w:customStyle="1" w:styleId="TMGenL1">
    <w:name w:val="TMGen L1"/>
    <w:basedOn w:val="Normal"/>
    <w:rsid w:val="008841DD"/>
    <w:pPr>
      <w:numPr>
        <w:numId w:val="10"/>
      </w:numPr>
      <w:spacing w:after="240"/>
      <w:jc w:val="both"/>
      <w:outlineLvl w:val="0"/>
    </w:pPr>
    <w:rPr>
      <w:rFonts w:eastAsia="Times New Roman"/>
    </w:rPr>
  </w:style>
  <w:style w:type="paragraph" w:customStyle="1" w:styleId="TMGenL2">
    <w:name w:val="TMGen L2"/>
    <w:basedOn w:val="Normal"/>
    <w:rsid w:val="008841DD"/>
    <w:pPr>
      <w:numPr>
        <w:ilvl w:val="1"/>
        <w:numId w:val="10"/>
      </w:numPr>
      <w:spacing w:after="240"/>
      <w:jc w:val="both"/>
      <w:outlineLvl w:val="1"/>
    </w:pPr>
    <w:rPr>
      <w:rFonts w:eastAsia="Times New Roman"/>
    </w:rPr>
  </w:style>
  <w:style w:type="paragraph" w:customStyle="1" w:styleId="TMGenL3">
    <w:name w:val="TMGen L3"/>
    <w:basedOn w:val="Normal"/>
    <w:rsid w:val="008841DD"/>
    <w:pPr>
      <w:numPr>
        <w:ilvl w:val="2"/>
        <w:numId w:val="10"/>
      </w:numPr>
      <w:spacing w:after="240"/>
      <w:jc w:val="both"/>
      <w:outlineLvl w:val="2"/>
    </w:pPr>
    <w:rPr>
      <w:rFonts w:eastAsia="Times New Roman"/>
    </w:rPr>
  </w:style>
  <w:style w:type="paragraph" w:customStyle="1" w:styleId="TMGenL4">
    <w:name w:val="TMGen L4"/>
    <w:basedOn w:val="Normal"/>
    <w:rsid w:val="008841DD"/>
    <w:pPr>
      <w:numPr>
        <w:ilvl w:val="3"/>
        <w:numId w:val="10"/>
      </w:numPr>
      <w:spacing w:after="240"/>
      <w:jc w:val="both"/>
      <w:outlineLvl w:val="3"/>
    </w:pPr>
    <w:rPr>
      <w:rFonts w:eastAsia="Times New Roman"/>
    </w:rPr>
  </w:style>
  <w:style w:type="paragraph" w:customStyle="1" w:styleId="TMGenL5">
    <w:name w:val="TMGen L5"/>
    <w:basedOn w:val="Normal"/>
    <w:rsid w:val="008841DD"/>
    <w:pPr>
      <w:numPr>
        <w:ilvl w:val="4"/>
        <w:numId w:val="10"/>
      </w:numPr>
      <w:spacing w:after="240"/>
      <w:jc w:val="both"/>
    </w:pPr>
    <w:rPr>
      <w:rFonts w:eastAsia="Times New Roman"/>
    </w:rPr>
  </w:style>
  <w:style w:type="paragraph" w:customStyle="1" w:styleId="TMGenL6">
    <w:name w:val="TMGen L6"/>
    <w:basedOn w:val="Normal"/>
    <w:rsid w:val="008841DD"/>
    <w:pPr>
      <w:numPr>
        <w:ilvl w:val="5"/>
        <w:numId w:val="10"/>
      </w:numPr>
      <w:spacing w:after="240"/>
      <w:jc w:val="both"/>
    </w:pPr>
    <w:rPr>
      <w:rFonts w:eastAsia="Times New Roman"/>
    </w:rPr>
  </w:style>
  <w:style w:type="paragraph" w:customStyle="1" w:styleId="TMGenL7">
    <w:name w:val="TMGen L7"/>
    <w:basedOn w:val="Normal"/>
    <w:rsid w:val="008841DD"/>
    <w:pPr>
      <w:numPr>
        <w:ilvl w:val="6"/>
        <w:numId w:val="10"/>
      </w:numPr>
      <w:spacing w:after="240"/>
      <w:jc w:val="both"/>
    </w:pPr>
    <w:rPr>
      <w:rFonts w:eastAsia="Times New Roman"/>
    </w:rPr>
  </w:style>
  <w:style w:type="paragraph" w:customStyle="1" w:styleId="TMGenL8">
    <w:name w:val="TMGen L8"/>
    <w:basedOn w:val="Normal"/>
    <w:rsid w:val="008841DD"/>
    <w:pPr>
      <w:numPr>
        <w:ilvl w:val="7"/>
        <w:numId w:val="10"/>
      </w:numPr>
      <w:spacing w:after="240"/>
      <w:jc w:val="both"/>
    </w:pPr>
    <w:rPr>
      <w:rFonts w:eastAsia="Times New Roman"/>
    </w:rPr>
  </w:style>
  <w:style w:type="paragraph" w:customStyle="1" w:styleId="TMGenL9">
    <w:name w:val="TMGen L9"/>
    <w:basedOn w:val="Normal"/>
    <w:rsid w:val="008841DD"/>
    <w:pPr>
      <w:numPr>
        <w:ilvl w:val="8"/>
        <w:numId w:val="10"/>
      </w:numPr>
      <w:spacing w:after="240"/>
      <w:jc w:val="both"/>
    </w:pPr>
    <w:rPr>
      <w:rFonts w:eastAsia="Times New Roman"/>
    </w:rPr>
  </w:style>
  <w:style w:type="numbering" w:customStyle="1" w:styleId="TMGenList">
    <w:name w:val="TMGen List"/>
    <w:basedOn w:val="NoList"/>
    <w:rsid w:val="008841DD"/>
    <w:pPr>
      <w:numPr>
        <w:numId w:val="10"/>
      </w:numPr>
    </w:pPr>
  </w:style>
  <w:style w:type="character" w:customStyle="1" w:styleId="Heading4Char">
    <w:name w:val="Heading 4 Char"/>
    <w:basedOn w:val="DefaultParagraphFont"/>
    <w:link w:val="Heading4"/>
    <w:uiPriority w:val="9"/>
    <w:rsid w:val="007706FD"/>
    <w:rPr>
      <w:rFonts w:ascii="Times" w:hAnsi="Times"/>
      <w:b/>
      <w:bCs/>
    </w:rPr>
  </w:style>
  <w:style w:type="paragraph" w:customStyle="1" w:styleId="subsection">
    <w:name w:val="subsection"/>
    <w:basedOn w:val="Normal"/>
    <w:rsid w:val="007706FD"/>
    <w:pPr>
      <w:spacing w:before="100" w:beforeAutospacing="1" w:after="100" w:afterAutospacing="1"/>
    </w:pPr>
    <w:rPr>
      <w:rFonts w:ascii="Times" w:hAnsi="Times"/>
      <w:sz w:val="20"/>
      <w:szCs w:val="20"/>
    </w:rPr>
  </w:style>
  <w:style w:type="character" w:customStyle="1" w:styleId="Prompt">
    <w:name w:val="Prompt"/>
    <w:rsid w:val="00E30F93"/>
    <w:rPr>
      <w:color w:val="0000FF"/>
    </w:rPr>
  </w:style>
  <w:style w:type="table" w:styleId="TableGrid">
    <w:name w:val="Table Grid"/>
    <w:basedOn w:val="TableNormal"/>
    <w:uiPriority w:val="59"/>
    <w:rsid w:val="00E30F93"/>
    <w:rPr>
      <w:rFonts w:ascii="Times New Roman" w:eastAsia="Times New Roman" w:hAnsi="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118"/>
    <w:pPr>
      <w:tabs>
        <w:tab w:val="center" w:pos="4680"/>
        <w:tab w:val="right" w:pos="9360"/>
      </w:tabs>
    </w:pPr>
  </w:style>
  <w:style w:type="character" w:customStyle="1" w:styleId="HeaderChar">
    <w:name w:val="Header Char"/>
    <w:basedOn w:val="DefaultParagraphFont"/>
    <w:link w:val="Header"/>
    <w:uiPriority w:val="99"/>
    <w:rsid w:val="00F23118"/>
  </w:style>
  <w:style w:type="paragraph" w:customStyle="1" w:styleId="DocsID">
    <w:name w:val="DocsID"/>
    <w:basedOn w:val="Normal"/>
    <w:rsid w:val="004056F9"/>
    <w:pPr>
      <w:spacing w:before="20"/>
    </w:pPr>
    <w:rPr>
      <w:rFonts w:ascii="Times New Roman" w:eastAsia="Times New Roman" w:hAnsi="Times New Roman"/>
      <w:color w:val="000080"/>
      <w:sz w:val="16"/>
      <w:szCs w:val="20"/>
    </w:rPr>
  </w:style>
  <w:style w:type="paragraph" w:customStyle="1" w:styleId="TMGenNoL1">
    <w:name w:val="TMGen No#L1"/>
    <w:basedOn w:val="Normal"/>
    <w:rsid w:val="00710E77"/>
    <w:pPr>
      <w:ind w:left="720"/>
      <w:jc w:val="both"/>
    </w:pPr>
  </w:style>
  <w:style w:type="paragraph" w:customStyle="1" w:styleId="TMGenNoL2">
    <w:name w:val="TMGen No#L2"/>
    <w:basedOn w:val="Normal"/>
    <w:rsid w:val="00710E77"/>
    <w:pPr>
      <w:ind w:left="1440"/>
      <w:jc w:val="both"/>
    </w:pPr>
  </w:style>
  <w:style w:type="paragraph" w:customStyle="1" w:styleId="TMGenNoL3">
    <w:name w:val="TMGen No#L3"/>
    <w:basedOn w:val="Normal"/>
    <w:rsid w:val="00710E77"/>
    <w:pPr>
      <w:ind w:left="2160"/>
      <w:jc w:val="both"/>
    </w:pPr>
  </w:style>
  <w:style w:type="paragraph" w:customStyle="1" w:styleId="TMGenNoL4">
    <w:name w:val="TMGen No#L4"/>
    <w:basedOn w:val="Normal"/>
    <w:rsid w:val="00710E77"/>
    <w:pPr>
      <w:ind w:left="2880"/>
      <w:jc w:val="both"/>
    </w:pPr>
  </w:style>
  <w:style w:type="paragraph" w:customStyle="1" w:styleId="TMGenNoL5">
    <w:name w:val="TMGen No#L5"/>
    <w:basedOn w:val="Normal"/>
    <w:rsid w:val="00710E77"/>
    <w:pPr>
      <w:ind w:left="3600"/>
      <w:jc w:val="both"/>
    </w:pPr>
  </w:style>
  <w:style w:type="paragraph" w:customStyle="1" w:styleId="TMGenNoL6">
    <w:name w:val="TMGen No#L6"/>
    <w:basedOn w:val="Normal"/>
    <w:rsid w:val="00710E77"/>
    <w:pPr>
      <w:ind w:left="4320"/>
      <w:jc w:val="both"/>
    </w:pPr>
  </w:style>
  <w:style w:type="paragraph" w:customStyle="1" w:styleId="TMGenNoL7">
    <w:name w:val="TMGen No#L7"/>
    <w:basedOn w:val="Normal"/>
    <w:rsid w:val="00710E77"/>
    <w:pPr>
      <w:ind w:left="5040"/>
      <w:jc w:val="both"/>
    </w:pPr>
  </w:style>
  <w:style w:type="paragraph" w:customStyle="1" w:styleId="TMGenNoL8">
    <w:name w:val="TMGen No#L8"/>
    <w:basedOn w:val="Normal"/>
    <w:rsid w:val="00710E77"/>
    <w:pPr>
      <w:ind w:left="5760"/>
      <w:jc w:val="both"/>
    </w:pPr>
  </w:style>
  <w:style w:type="paragraph" w:customStyle="1" w:styleId="TMGenNoL9">
    <w:name w:val="TMGen No#L9"/>
    <w:basedOn w:val="Normal"/>
    <w:rsid w:val="00710E77"/>
    <w:pPr>
      <w:ind w:left="648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5361">
      <w:bodyDiv w:val="1"/>
      <w:marLeft w:val="0"/>
      <w:marRight w:val="0"/>
      <w:marTop w:val="0"/>
      <w:marBottom w:val="0"/>
      <w:divBdr>
        <w:top w:val="none" w:sz="0" w:space="0" w:color="auto"/>
        <w:left w:val="none" w:sz="0" w:space="0" w:color="auto"/>
        <w:bottom w:val="none" w:sz="0" w:space="0" w:color="auto"/>
        <w:right w:val="none" w:sz="0" w:space="0" w:color="auto"/>
      </w:divBdr>
    </w:div>
    <w:div w:id="891190573">
      <w:bodyDiv w:val="1"/>
      <w:marLeft w:val="0"/>
      <w:marRight w:val="0"/>
      <w:marTop w:val="0"/>
      <w:marBottom w:val="0"/>
      <w:divBdr>
        <w:top w:val="none" w:sz="0" w:space="0" w:color="auto"/>
        <w:left w:val="none" w:sz="0" w:space="0" w:color="auto"/>
        <w:bottom w:val="none" w:sz="0" w:space="0" w:color="auto"/>
        <w:right w:val="none" w:sz="0" w:space="0" w:color="auto"/>
      </w:divBdr>
    </w:div>
    <w:div w:id="1240559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Foster</dc:creator>
  <cp:lastModifiedBy>user1</cp:lastModifiedBy>
  <cp:revision>4</cp:revision>
  <dcterms:created xsi:type="dcterms:W3CDTF">2018-02-28T00:16:00Z</dcterms:created>
  <dcterms:modified xsi:type="dcterms:W3CDTF">2018-03-16T17:36:00Z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LAST</vt:lpwstr>
  </property>
  <property fmtid="{D5CDD505-2E9C-101B-9397-08002B2CF9AE}" pid="3" name="DocsID">
    <vt:lpwstr>38164.0001/10785997_.1</vt:lpwstr>
  </property>
  <property fmtid="{D5CDD505-2E9C-101B-9397-08002B2CF9AE}" pid="4" name="WS_TRACKING_ID">
    <vt:lpwstr>cdefe8a7-1919-415e-acfb-3cfa3c5e1947</vt:lpwstr>
  </property>
</Properties>
</file>