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41C80AF8" w:rsidR="000B1CF7" w:rsidRPr="0049685C" w:rsidRDefault="00F31FF4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16"/>
          <w:szCs w:val="16"/>
        </w:rPr>
      </w:pPr>
      <w:r>
        <w:rPr>
          <w:rFonts w:ascii="Verdana" w:hAnsi="Verdana"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45pt;height:23.4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F960FE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  <w:lang w:val="fr-CA"/>
        </w:rPr>
      </w:pPr>
      <w:r w:rsidRPr="00F960FE">
        <w:rPr>
          <w:rFonts w:ascii="Verdana" w:hAnsi="Verdana" w:cstheme="majorHAnsi"/>
          <w:b/>
          <w:color w:val="0070C0"/>
          <w:sz w:val="28"/>
          <w:szCs w:val="22"/>
          <w:lang w:val="fr-CA"/>
        </w:rPr>
        <w:t>Politique et procédures d'enquête</w:t>
      </w:r>
    </w:p>
    <w:p w14:paraId="7E633467" w14:textId="0F488CA5" w:rsidR="000B1CF7" w:rsidRPr="00F960FE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>Approuvées le</w:t>
      </w:r>
      <w:r w:rsidRPr="00F960FE">
        <w:rPr>
          <w:rFonts w:ascii="Verdana" w:hAnsi="Verdana" w:cstheme="majorHAnsi"/>
          <w:color w:val="0070C0"/>
          <w:sz w:val="20"/>
          <w:szCs w:val="20"/>
          <w:lang w:val="fr-CA"/>
        </w:rPr>
        <w:t xml:space="preserve"> Date</w:t>
      </w:r>
    </w:p>
    <w:p w14:paraId="3EDE3C78" w14:textId="1BA7895A" w:rsidR="000B1CF7" w:rsidRPr="00F960FE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 xml:space="preserve">Mises à jour le </w:t>
      </w:r>
      <w:r w:rsidRPr="00F960FE">
        <w:rPr>
          <w:rFonts w:ascii="Verdana" w:hAnsi="Verdana" w:cstheme="majorHAnsi"/>
          <w:color w:val="0070C0"/>
          <w:sz w:val="20"/>
          <w:szCs w:val="20"/>
          <w:lang w:val="fr-CA"/>
        </w:rPr>
        <w:t>Date</w:t>
      </w:r>
    </w:p>
    <w:p w14:paraId="6EC2948B" w14:textId="77777777" w:rsidR="000B1CF7" w:rsidRPr="00F960FE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20"/>
          <w:szCs w:val="20"/>
          <w:lang w:val="fr-CA"/>
        </w:rPr>
      </w:pPr>
    </w:p>
    <w:p w14:paraId="39C9873E" w14:textId="5A9C9DCE" w:rsidR="000B1CF7" w:rsidRPr="00F960FE" w:rsidRDefault="008926AA" w:rsidP="00055016">
      <w:pPr>
        <w:spacing w:line="276" w:lineRule="auto"/>
        <w:jc w:val="both"/>
        <w:rPr>
          <w:rFonts w:ascii="Verdana" w:hAnsi="Verdana" w:cstheme="majorHAnsi"/>
          <w:b/>
          <w:sz w:val="20"/>
          <w:szCs w:val="20"/>
          <w:lang w:val="fr-CA"/>
        </w:rPr>
      </w:pPr>
      <w:r w:rsidRPr="00F960FE">
        <w:rPr>
          <w:rFonts w:ascii="Verdana" w:hAnsi="Verdana" w:cstheme="majorHAnsi"/>
          <w:b/>
          <w:sz w:val="20"/>
          <w:szCs w:val="20"/>
          <w:lang w:val="fr-CA"/>
        </w:rPr>
        <w:t>Objectif</w:t>
      </w:r>
      <w:r w:rsidR="009865E1" w:rsidRPr="00F960FE">
        <w:rPr>
          <w:rFonts w:ascii="Verdana" w:hAnsi="Verdana" w:cstheme="majorHAnsi"/>
          <w:b/>
          <w:sz w:val="20"/>
          <w:szCs w:val="20"/>
          <w:lang w:val="fr-CA"/>
        </w:rPr>
        <w:t> </w:t>
      </w:r>
      <w:r w:rsidRPr="00F960FE">
        <w:rPr>
          <w:rFonts w:ascii="Verdana" w:hAnsi="Verdana" w:cstheme="majorHAnsi"/>
          <w:b/>
          <w:sz w:val="20"/>
          <w:szCs w:val="20"/>
          <w:lang w:val="fr-CA"/>
        </w:rPr>
        <w:t xml:space="preserve">: </w:t>
      </w:r>
    </w:p>
    <w:p w14:paraId="55AC3E4B" w14:textId="77777777" w:rsidR="00E22F45" w:rsidRPr="00F960FE" w:rsidRDefault="00E22F45" w:rsidP="0049685C">
      <w:pPr>
        <w:pStyle w:val="Footer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4A9E3934" w14:textId="25ADA9C5" w:rsidR="008926AA" w:rsidRPr="00F960FE" w:rsidRDefault="008926AA" w:rsidP="008926AA">
      <w:pPr>
        <w:pStyle w:val="Footer"/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  <w:r w:rsidRPr="00F960FE">
        <w:rPr>
          <w:rFonts w:ascii="Verdana" w:hAnsi="Verdana" w:cstheme="majorHAnsi"/>
          <w:color w:val="0070C0"/>
          <w:sz w:val="20"/>
          <w:szCs w:val="20"/>
          <w:lang w:val="fr-CA"/>
        </w:rPr>
        <w:t>[PSE]</w:t>
      </w:r>
      <w:r w:rsidR="009865E1" w:rsidRPr="00F960FE">
        <w:rPr>
          <w:rFonts w:ascii="Verdana" w:hAnsi="Verdana" w:cstheme="majorHAnsi"/>
          <w:color w:val="0070C0"/>
          <w:sz w:val="20"/>
          <w:szCs w:val="20"/>
          <w:lang w:val="fr-CA"/>
        </w:rPr>
        <w:t xml:space="preserve"> </w:t>
      </w:r>
      <w:r w:rsidR="009865E1" w:rsidRPr="00F960FE">
        <w:rPr>
          <w:rFonts w:ascii="Verdana" w:hAnsi="Verdana" w:cstheme="majorHAnsi"/>
          <w:sz w:val="20"/>
          <w:szCs w:val="20"/>
          <w:lang w:val="fr-CA"/>
        </w:rPr>
        <w:t>e</w:t>
      </w:r>
      <w:r w:rsidRPr="00F960FE">
        <w:rPr>
          <w:rFonts w:ascii="Verdana" w:hAnsi="Verdana" w:cstheme="majorHAnsi"/>
          <w:sz w:val="20"/>
          <w:szCs w:val="20"/>
          <w:lang w:val="fr-CA"/>
        </w:rPr>
        <w:t>nquête sur les plaintes relatives aux droits des enfants qui nous sont confiés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>,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qui ont été déposé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>e</w:t>
      </w:r>
      <w:r w:rsidRPr="00F960FE">
        <w:rPr>
          <w:rFonts w:ascii="Verdana" w:hAnsi="Verdana" w:cstheme="majorHAnsi"/>
          <w:sz w:val="20"/>
          <w:szCs w:val="20"/>
          <w:lang w:val="fr-CA"/>
        </w:rPr>
        <w:t>s e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 xml:space="preserve">n passant par notre processus </w:t>
      </w:r>
      <w:r w:rsidRPr="00F960FE">
        <w:rPr>
          <w:rFonts w:ascii="Verdana" w:hAnsi="Verdana" w:cstheme="majorHAnsi"/>
          <w:sz w:val="20"/>
          <w:szCs w:val="20"/>
          <w:lang w:val="fr-CA"/>
        </w:rPr>
        <w:t>de plainte interne et qui ne peuvent pas être résolue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>s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par le biais d'un examen informel ou pour lesquelles un tel processus ne convient pas étant donné la nature de la plainte.</w:t>
      </w:r>
    </w:p>
    <w:p w14:paraId="6EB7D375" w14:textId="77777777" w:rsidR="008926AA" w:rsidRPr="00F960FE" w:rsidRDefault="008926AA" w:rsidP="0049685C">
      <w:pPr>
        <w:pStyle w:val="Footer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23F519F5" w14:textId="429558D9" w:rsidR="008926AA" w:rsidRPr="00F960FE" w:rsidRDefault="00387D67" w:rsidP="008926AA">
      <w:pPr>
        <w:pStyle w:val="Footer"/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>L'objectif de cette politique es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>t de garantir que toutes les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enquêtes sur des plaintes réalisées par</w:t>
      </w:r>
      <w:r w:rsidRPr="00F960FE">
        <w:rPr>
          <w:rFonts w:ascii="Verdana" w:hAnsi="Verdana" w:cstheme="majorHAnsi"/>
          <w:color w:val="0070C0"/>
          <w:sz w:val="20"/>
          <w:szCs w:val="20"/>
          <w:lang w:val="fr-CA"/>
        </w:rPr>
        <w:t xml:space="preserve"> [PSE]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sont conduite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>s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rapidement, justement et objectivement, de manière réfléchie et attentive, et conformément aux politiques et procédures applicables. </w:t>
      </w:r>
    </w:p>
    <w:p w14:paraId="0CF19FED" w14:textId="77777777" w:rsidR="008926AA" w:rsidRPr="00F960FE" w:rsidRDefault="008926AA" w:rsidP="008926AA">
      <w:pPr>
        <w:pStyle w:val="Footer"/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38329419" w14:textId="62ED70D7" w:rsidR="008926AA" w:rsidRPr="00F960FE" w:rsidRDefault="008926AA" w:rsidP="008926AA">
      <w:pPr>
        <w:pStyle w:val="Footer"/>
        <w:spacing w:line="276" w:lineRule="auto"/>
        <w:jc w:val="both"/>
        <w:rPr>
          <w:rFonts w:ascii="Verdana" w:hAnsi="Verdana" w:cstheme="majorHAnsi"/>
          <w:b/>
          <w:sz w:val="20"/>
          <w:szCs w:val="20"/>
          <w:lang w:val="fr-CA"/>
        </w:rPr>
      </w:pPr>
      <w:r w:rsidRPr="00F960FE">
        <w:rPr>
          <w:rFonts w:ascii="Verdana" w:hAnsi="Verdana" w:cstheme="majorHAnsi"/>
          <w:b/>
          <w:sz w:val="20"/>
          <w:szCs w:val="20"/>
          <w:lang w:val="fr-CA"/>
        </w:rPr>
        <w:t>Champ d’application</w:t>
      </w:r>
      <w:r w:rsidR="009865E1" w:rsidRPr="00F960FE">
        <w:rPr>
          <w:rFonts w:ascii="Verdana" w:hAnsi="Verdana" w:cstheme="majorHAnsi"/>
          <w:b/>
          <w:sz w:val="20"/>
          <w:szCs w:val="20"/>
          <w:lang w:val="fr-CA"/>
        </w:rPr>
        <w:t> </w:t>
      </w:r>
      <w:r w:rsidRPr="00F960FE">
        <w:rPr>
          <w:rFonts w:ascii="Verdana" w:hAnsi="Verdana" w:cstheme="majorHAnsi"/>
          <w:b/>
          <w:sz w:val="20"/>
          <w:szCs w:val="20"/>
          <w:lang w:val="fr-CA"/>
        </w:rPr>
        <w:t>:</w:t>
      </w:r>
    </w:p>
    <w:p w14:paraId="076849E5" w14:textId="77777777" w:rsidR="008926AA" w:rsidRPr="00F960FE" w:rsidRDefault="008926AA" w:rsidP="0049685C">
      <w:pPr>
        <w:pStyle w:val="Footer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415733C4" w14:textId="1256A8AF" w:rsidR="00387D67" w:rsidRPr="00F960FE" w:rsidRDefault="00387D67" w:rsidP="008926AA">
      <w:pPr>
        <w:pStyle w:val="Footer"/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>Cette politique et nos procédure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>s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d'enquête s'appliquent à toutes les enquêtes mené</w:t>
      </w:r>
      <w:r w:rsidR="009865E1" w:rsidRPr="00F960FE">
        <w:rPr>
          <w:rFonts w:ascii="Verdana" w:hAnsi="Verdana" w:cstheme="majorHAnsi"/>
          <w:sz w:val="20"/>
          <w:szCs w:val="20"/>
          <w:lang w:val="fr-CA"/>
        </w:rPr>
        <w:t>e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s par </w:t>
      </w:r>
      <w:r w:rsidRPr="00F960FE">
        <w:rPr>
          <w:rFonts w:ascii="Verdana" w:hAnsi="Verdana" w:cstheme="majorHAnsi"/>
          <w:color w:val="0070C0"/>
          <w:sz w:val="20"/>
          <w:szCs w:val="20"/>
          <w:lang w:val="fr-CA"/>
        </w:rPr>
        <w:t>[PSE]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concernant le droit des enfants qui nous sont confiés ou les conditions et restrictions imposées aux visiteurs.  </w:t>
      </w:r>
    </w:p>
    <w:p w14:paraId="780202C9" w14:textId="77777777" w:rsidR="00387D67" w:rsidRPr="00F960FE" w:rsidRDefault="00387D67" w:rsidP="0049685C">
      <w:pPr>
        <w:pStyle w:val="Footer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7F89B4DC" w14:textId="6D4D1C32" w:rsidR="00B243AA" w:rsidRPr="00F960FE" w:rsidRDefault="00B243AA" w:rsidP="008926AA">
      <w:pPr>
        <w:pStyle w:val="Footer"/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 xml:space="preserve">Cette politique ne s'applique pas aux examens informels de plaintes 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 xml:space="preserve">qui consistent à </w:t>
      </w:r>
      <w:r w:rsidRPr="00F960FE">
        <w:rPr>
          <w:rFonts w:ascii="Verdana" w:hAnsi="Verdana" w:cstheme="majorHAnsi"/>
          <w:sz w:val="20"/>
          <w:szCs w:val="20"/>
          <w:lang w:val="fr-CA"/>
        </w:rPr>
        <w:t>discut</w:t>
      </w:r>
      <w:r w:rsidR="00151D81" w:rsidRPr="00F960FE">
        <w:rPr>
          <w:rFonts w:ascii="Verdana" w:hAnsi="Verdana" w:cstheme="majorHAnsi"/>
          <w:sz w:val="20"/>
          <w:szCs w:val="20"/>
          <w:lang w:val="fr-CA"/>
        </w:rPr>
        <w:t>er de la plainte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avec les parties intéressées dans le but de résoudre les problèmes par le biais du dialogue de la médiation et de compréhension mutuelle. </w:t>
      </w:r>
    </w:p>
    <w:p w14:paraId="63DF68AB" w14:textId="77777777" w:rsidR="00B243AA" w:rsidRPr="00F960FE" w:rsidRDefault="00B243AA" w:rsidP="0049685C">
      <w:pPr>
        <w:pStyle w:val="Footer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2CF178CD" w14:textId="21920B4E" w:rsidR="008926AA" w:rsidRPr="00F960FE" w:rsidRDefault="008926AA" w:rsidP="008926AA">
      <w:pPr>
        <w:pStyle w:val="Footer"/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>Les enquêtes officielles ont pour objectif de permettre</w:t>
      </w:r>
      <w:r w:rsidR="009865E1" w:rsidRPr="00F960FE">
        <w:rPr>
          <w:rFonts w:ascii="Verdana" w:hAnsi="Verdana" w:cstheme="majorHAnsi"/>
          <w:sz w:val="20"/>
          <w:szCs w:val="20"/>
          <w:lang w:val="fr-CA"/>
        </w:rPr>
        <w:t xml:space="preserve"> à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</w:t>
      </w:r>
      <w:r w:rsidR="00EF7937" w:rsidRPr="00F960FE">
        <w:rPr>
          <w:rFonts w:ascii="Verdana" w:hAnsi="Verdana" w:cstheme="majorHAnsi"/>
          <w:color w:val="0070C0"/>
          <w:sz w:val="20"/>
          <w:szCs w:val="20"/>
          <w:lang w:val="fr-CA"/>
        </w:rPr>
        <w:t>[PSE]</w:t>
      </w:r>
      <w:r w:rsidR="00EF7937" w:rsidRPr="00F960FE">
        <w:rPr>
          <w:rFonts w:ascii="Verdana" w:hAnsi="Verdana" w:cstheme="majorHAnsi"/>
          <w:sz w:val="20"/>
          <w:szCs w:val="20"/>
          <w:lang w:val="fr-CA"/>
        </w:rPr>
        <w:t xml:space="preserve"> de collecter les informations et la documentation pertinentes des parties et des t</w:t>
      </w:r>
      <w:r w:rsidR="002E2483" w:rsidRPr="00F960FE">
        <w:rPr>
          <w:rFonts w:ascii="Verdana" w:hAnsi="Verdana" w:cstheme="majorHAnsi"/>
          <w:sz w:val="20"/>
          <w:szCs w:val="20"/>
          <w:lang w:val="fr-CA"/>
        </w:rPr>
        <w:t xml:space="preserve">émoins pour ensuite </w:t>
      </w:r>
      <w:r w:rsidR="00EF7937" w:rsidRPr="00F960FE">
        <w:rPr>
          <w:rFonts w:ascii="Verdana" w:hAnsi="Verdana" w:cstheme="majorHAnsi"/>
          <w:sz w:val="20"/>
          <w:szCs w:val="20"/>
          <w:lang w:val="fr-CA"/>
        </w:rPr>
        <w:t xml:space="preserve">formuler des conclusions au sujet de la plainte et prendre des mesures correctives </w:t>
      </w:r>
      <w:r w:rsidR="002E2483" w:rsidRPr="00F960FE">
        <w:rPr>
          <w:rFonts w:ascii="Verdana" w:hAnsi="Verdana" w:cstheme="majorHAnsi"/>
          <w:sz w:val="20"/>
          <w:szCs w:val="20"/>
          <w:lang w:val="fr-CA"/>
        </w:rPr>
        <w:t xml:space="preserve">si nécessaire afin de </w:t>
      </w:r>
      <w:r w:rsidR="00EF7937" w:rsidRPr="00F960FE">
        <w:rPr>
          <w:rFonts w:ascii="Verdana" w:hAnsi="Verdana" w:cstheme="majorHAnsi"/>
          <w:sz w:val="20"/>
          <w:szCs w:val="20"/>
          <w:lang w:val="fr-CA"/>
        </w:rPr>
        <w:t xml:space="preserve">protéger les droits des enfants et améliorer les services fournis </w:t>
      </w:r>
      <w:r w:rsidR="002E2483" w:rsidRPr="00F960FE">
        <w:rPr>
          <w:rFonts w:ascii="Verdana" w:hAnsi="Verdana" w:cstheme="majorHAnsi"/>
          <w:sz w:val="20"/>
          <w:szCs w:val="20"/>
          <w:lang w:val="fr-CA"/>
        </w:rPr>
        <w:t>à ces derniers</w:t>
      </w:r>
      <w:r w:rsidR="00EF7937" w:rsidRPr="00F960FE">
        <w:rPr>
          <w:rFonts w:ascii="Verdana" w:hAnsi="Verdana" w:cstheme="majorHAnsi"/>
          <w:sz w:val="20"/>
          <w:szCs w:val="20"/>
          <w:lang w:val="fr-CA"/>
        </w:rPr>
        <w:t xml:space="preserve"> et à leurs familles.   </w:t>
      </w:r>
    </w:p>
    <w:p w14:paraId="4761F0C4" w14:textId="77777777" w:rsidR="00EF7937" w:rsidRPr="00F960FE" w:rsidRDefault="00EF7937" w:rsidP="0049685C">
      <w:pPr>
        <w:pStyle w:val="Footer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135E7AA7" w14:textId="550C5177" w:rsidR="00EF7937" w:rsidRPr="00F960FE" w:rsidRDefault="00B24F93" w:rsidP="008926AA">
      <w:pPr>
        <w:pStyle w:val="Footer"/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>Une plainte relative aux droits des enfants qui nous sont confiés</w:t>
      </w:r>
      <w:r w:rsidR="007C2848" w:rsidRPr="00F960FE">
        <w:rPr>
          <w:rFonts w:ascii="Verdana" w:hAnsi="Verdana" w:cstheme="majorHAnsi"/>
          <w:sz w:val="20"/>
          <w:szCs w:val="20"/>
          <w:lang w:val="fr-CA"/>
        </w:rPr>
        <w:t xml:space="preserve">, </w:t>
      </w:r>
      <w:r w:rsidRPr="00F960FE">
        <w:rPr>
          <w:rFonts w:ascii="Verdana" w:hAnsi="Verdana" w:cstheme="majorHAnsi"/>
          <w:sz w:val="20"/>
          <w:szCs w:val="20"/>
          <w:lang w:val="fr-CA"/>
        </w:rPr>
        <w:t>qui ne peut pas être résolue par le biais d'un examen informel</w:t>
      </w:r>
      <w:r w:rsidR="009865E1" w:rsidRPr="00F960FE">
        <w:rPr>
          <w:rFonts w:ascii="Verdana" w:hAnsi="Verdana" w:cstheme="majorHAnsi"/>
          <w:sz w:val="20"/>
          <w:szCs w:val="20"/>
          <w:lang w:val="fr-CA"/>
        </w:rPr>
        <w:t>,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fera l'objet d'une enquête</w:t>
      </w:r>
      <w:r w:rsidR="00B36C82" w:rsidRPr="00F960FE">
        <w:rPr>
          <w:rFonts w:ascii="Verdana" w:hAnsi="Verdana" w:cstheme="majorHAnsi"/>
          <w:sz w:val="20"/>
          <w:szCs w:val="20"/>
          <w:lang w:val="fr-CA"/>
        </w:rPr>
        <w:t xml:space="preserve"> of</w:t>
      </w:r>
      <w:r w:rsidR="009865E1" w:rsidRPr="00F960FE">
        <w:rPr>
          <w:rFonts w:ascii="Verdana" w:hAnsi="Verdana" w:cstheme="majorHAnsi"/>
          <w:sz w:val="20"/>
          <w:szCs w:val="20"/>
          <w:lang w:val="fr-CA"/>
        </w:rPr>
        <w:t>f</w:t>
      </w:r>
      <w:r w:rsidR="00B36C82" w:rsidRPr="00F960FE">
        <w:rPr>
          <w:rFonts w:ascii="Verdana" w:hAnsi="Verdana" w:cstheme="majorHAnsi"/>
          <w:sz w:val="20"/>
          <w:szCs w:val="20"/>
          <w:lang w:val="fr-CA"/>
        </w:rPr>
        <w:t>icielle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menée par </w:t>
      </w:r>
      <w:r w:rsidR="00EF7937" w:rsidRPr="00F960FE">
        <w:rPr>
          <w:rFonts w:ascii="Verdana" w:hAnsi="Verdana" w:cstheme="majorHAnsi"/>
          <w:color w:val="0070C0"/>
          <w:sz w:val="20"/>
          <w:szCs w:val="20"/>
          <w:lang w:val="fr-CA"/>
        </w:rPr>
        <w:t>[PSE]</w:t>
      </w:r>
      <w:r w:rsidR="00EF7937" w:rsidRPr="00F960FE">
        <w:rPr>
          <w:rFonts w:ascii="Verdana" w:hAnsi="Verdana" w:cstheme="majorHAnsi"/>
          <w:sz w:val="20"/>
          <w:szCs w:val="20"/>
          <w:lang w:val="fr-CA"/>
        </w:rPr>
        <w:t xml:space="preserve"> à moins qu</w:t>
      </w:r>
      <w:r w:rsidR="009865E1" w:rsidRPr="00F960FE">
        <w:rPr>
          <w:rFonts w:ascii="Verdana" w:hAnsi="Verdana" w:cstheme="majorHAnsi"/>
          <w:sz w:val="20"/>
          <w:szCs w:val="20"/>
          <w:lang w:val="fr-CA"/>
        </w:rPr>
        <w:t xml:space="preserve">e </w:t>
      </w:r>
      <w:r w:rsidR="00B36C82" w:rsidRPr="00F960FE">
        <w:rPr>
          <w:rFonts w:ascii="Verdana" w:hAnsi="Verdana" w:cstheme="majorHAnsi"/>
          <w:sz w:val="20"/>
          <w:szCs w:val="20"/>
          <w:lang w:val="fr-CA"/>
        </w:rPr>
        <w:t>cela</w:t>
      </w:r>
      <w:r w:rsidR="00EF7937" w:rsidRPr="00F960FE">
        <w:rPr>
          <w:rFonts w:ascii="Verdana" w:hAnsi="Verdana" w:cstheme="majorHAnsi"/>
          <w:sz w:val="20"/>
          <w:szCs w:val="20"/>
          <w:lang w:val="fr-CA"/>
        </w:rPr>
        <w:t xml:space="preserve"> ne convienne pas davantage aux circonstances</w:t>
      </w:r>
      <w:r w:rsidR="00EE0BC3" w:rsidRPr="00F960FE">
        <w:rPr>
          <w:rFonts w:ascii="Verdana" w:hAnsi="Verdana" w:cstheme="majorHAnsi"/>
          <w:sz w:val="20"/>
          <w:szCs w:val="20"/>
          <w:lang w:val="fr-CA"/>
        </w:rPr>
        <w:t>.</w:t>
      </w:r>
    </w:p>
    <w:p w14:paraId="591B61AD" w14:textId="77777777" w:rsidR="00B24F93" w:rsidRPr="00F960FE" w:rsidRDefault="00B24F93" w:rsidP="0049685C">
      <w:pPr>
        <w:pStyle w:val="Footer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0A7F0484" w14:textId="4CA9AE4A" w:rsidR="00B24F93" w:rsidRPr="00F960FE" w:rsidRDefault="00B24F93" w:rsidP="008926AA">
      <w:pPr>
        <w:pStyle w:val="Footer"/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>Dans certains cas,</w:t>
      </w:r>
      <w:r w:rsidRPr="00F960FE">
        <w:rPr>
          <w:rFonts w:ascii="Verdana" w:hAnsi="Verdana" w:cstheme="majorHAnsi"/>
          <w:color w:val="0070C0"/>
          <w:sz w:val="20"/>
          <w:szCs w:val="20"/>
          <w:lang w:val="fr-CA"/>
        </w:rPr>
        <w:t xml:space="preserve"> [PSE]</w:t>
      </w:r>
      <w:r w:rsidRPr="00F960FE">
        <w:rPr>
          <w:rFonts w:ascii="Verdana" w:hAnsi="Verdana" w:cstheme="majorHAnsi"/>
          <w:sz w:val="20"/>
          <w:szCs w:val="20"/>
          <w:lang w:val="fr-CA"/>
        </w:rPr>
        <w:t xml:space="preserve"> pourra embaucher un enquêteur externe (quelqu'un qui n'est pas l'employé par notre organisation) pour effectuer une enquête au sujet de la plainte. </w:t>
      </w:r>
    </w:p>
    <w:p w14:paraId="46B425E4" w14:textId="77777777" w:rsidR="008926AA" w:rsidRPr="00F960FE" w:rsidRDefault="008926AA" w:rsidP="0049685C">
      <w:pPr>
        <w:pStyle w:val="Footer"/>
        <w:jc w:val="both"/>
        <w:rPr>
          <w:rFonts w:ascii="Verdana" w:hAnsi="Verdana" w:cstheme="majorHAnsi"/>
          <w:sz w:val="20"/>
          <w:szCs w:val="20"/>
          <w:lang w:val="fr-CA"/>
        </w:rPr>
      </w:pPr>
    </w:p>
    <w:p w14:paraId="5AE4CD57" w14:textId="4A0ED6A0" w:rsidR="00692B75" w:rsidRPr="00F960FE" w:rsidRDefault="00EE0BC3" w:rsidP="00013812">
      <w:pPr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  <w:r w:rsidRPr="00F960FE">
        <w:rPr>
          <w:rFonts w:ascii="Verdana" w:hAnsi="Verdana" w:cstheme="majorHAnsi"/>
          <w:sz w:val="20"/>
          <w:szCs w:val="20"/>
          <w:lang w:val="fr-CA"/>
        </w:rPr>
        <w:t>Si une plainte implique des blessures ou des cas de maltraitance, de menaces de blessures ou de menaces de maltraitance,</w:t>
      </w:r>
      <w:r w:rsidR="009865E1" w:rsidRPr="00F960FE">
        <w:rPr>
          <w:rFonts w:ascii="Verdana" w:hAnsi="Verdana" w:cstheme="majorHAnsi"/>
          <w:sz w:val="20"/>
          <w:szCs w:val="20"/>
          <w:lang w:val="fr-CA"/>
        </w:rPr>
        <w:t xml:space="preserve"> </w:t>
      </w:r>
      <w:r w:rsidR="0075027E" w:rsidRPr="00F960FE">
        <w:rPr>
          <w:rFonts w:ascii="Verdana" w:hAnsi="Verdana" w:cstheme="majorHAnsi"/>
          <w:color w:val="0070C0"/>
          <w:sz w:val="20"/>
          <w:szCs w:val="20"/>
          <w:lang w:val="fr-CA"/>
        </w:rPr>
        <w:t>[PSE]</w:t>
      </w:r>
      <w:r w:rsidR="0075027E" w:rsidRPr="00F960FE">
        <w:rPr>
          <w:rFonts w:ascii="Verdana" w:hAnsi="Verdana" w:cstheme="majorHAnsi"/>
          <w:sz w:val="20"/>
          <w:szCs w:val="20"/>
          <w:lang w:val="fr-CA"/>
        </w:rPr>
        <w:t xml:space="preserve"> doit immédiatement signaler la plainte et les informations sur l</w:t>
      </w:r>
      <w:r w:rsidR="009865E1" w:rsidRPr="00F960FE">
        <w:rPr>
          <w:rFonts w:ascii="Verdana" w:hAnsi="Verdana" w:cstheme="majorHAnsi"/>
          <w:sz w:val="20"/>
          <w:szCs w:val="20"/>
          <w:lang w:val="fr-CA"/>
        </w:rPr>
        <w:t>esquelles</w:t>
      </w:r>
      <w:r w:rsidR="0075027E" w:rsidRPr="00F960FE">
        <w:rPr>
          <w:rFonts w:ascii="Verdana" w:hAnsi="Verdana" w:cstheme="majorHAnsi"/>
          <w:sz w:val="20"/>
          <w:szCs w:val="20"/>
          <w:lang w:val="fr-CA"/>
        </w:rPr>
        <w:t xml:space="preserve"> celle-ci est fondée à une Société d'aide à l'enfance, à l'IPEJ, à la police et/ou le MSEJ en établissant un rapport d'incident sérieux/grave, tel qu'exigé par la loi.</w:t>
      </w:r>
      <w:r w:rsidR="008572EE" w:rsidRPr="00F960FE">
        <w:rPr>
          <w:rFonts w:ascii="Verdana" w:hAnsi="Verdana" w:cstheme="majorHAnsi"/>
          <w:sz w:val="20"/>
          <w:szCs w:val="20"/>
          <w:lang w:val="fr-CA"/>
        </w:rPr>
        <w:t xml:space="preserve"> </w:t>
      </w:r>
      <w:r w:rsidR="0075027E" w:rsidRPr="00F960FE">
        <w:rPr>
          <w:rFonts w:ascii="Verdana" w:hAnsi="Verdana" w:cstheme="majorHAnsi"/>
          <w:sz w:val="20"/>
          <w:szCs w:val="20"/>
          <w:lang w:val="fr-CA"/>
        </w:rPr>
        <w:t xml:space="preserve">Dans de tels cas, </w:t>
      </w:r>
      <w:r w:rsidR="00086D95" w:rsidRPr="00F960FE">
        <w:rPr>
          <w:rFonts w:ascii="Verdana" w:hAnsi="Verdana" w:cstheme="majorHAnsi"/>
          <w:color w:val="0070C0"/>
          <w:sz w:val="20"/>
          <w:szCs w:val="20"/>
          <w:lang w:val="fr-CA"/>
        </w:rPr>
        <w:t>[PSE]</w:t>
      </w:r>
      <w:r w:rsidR="00086D95" w:rsidRPr="00F960FE">
        <w:rPr>
          <w:rFonts w:ascii="Verdana" w:hAnsi="Verdana" w:cstheme="majorHAnsi"/>
          <w:sz w:val="20"/>
          <w:szCs w:val="20"/>
          <w:lang w:val="fr-CA"/>
        </w:rPr>
        <w:t xml:space="preserve"> pourrait ne pas pouvoir enquêter sur la plainte qui sera confiée aux autorités compétentes.  </w:t>
      </w:r>
    </w:p>
    <w:p w14:paraId="74247E4B" w14:textId="77777777" w:rsidR="00151D81" w:rsidRPr="00F960FE" w:rsidRDefault="00151D81" w:rsidP="00013812">
      <w:pPr>
        <w:spacing w:line="276" w:lineRule="auto"/>
        <w:jc w:val="both"/>
        <w:rPr>
          <w:rFonts w:ascii="Verdana" w:hAnsi="Verdana" w:cstheme="majorHAnsi"/>
          <w:sz w:val="20"/>
          <w:szCs w:val="20"/>
          <w:lang w:val="fr-CA"/>
        </w:rPr>
      </w:pPr>
    </w:p>
    <w:sectPr w:rsidR="00151D81" w:rsidRPr="00F960FE" w:rsidSect="00F524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08" w:bottom="1008" w:left="1008" w:header="706" w:footer="706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3B96" w14:textId="77777777" w:rsidR="00F31FF4" w:rsidRDefault="00F31FF4" w:rsidP="00957B7C">
      <w:r>
        <w:separator/>
      </w:r>
    </w:p>
  </w:endnote>
  <w:endnote w:type="continuationSeparator" w:id="0">
    <w:p w14:paraId="4220615B" w14:textId="77777777" w:rsidR="00F31FF4" w:rsidRDefault="00F31FF4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AD2B" w14:textId="77777777" w:rsidR="0016697B" w:rsidRDefault="00166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6F1BB8EC" w:rsidR="007C2848" w:rsidRPr="0016697B" w:rsidRDefault="007C2848" w:rsidP="0016697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05353" w14:textId="77777777" w:rsidR="0016697B" w:rsidRDefault="00166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BF8B2" w14:textId="77777777" w:rsidR="00F31FF4" w:rsidRDefault="00F31FF4" w:rsidP="00957B7C">
      <w:r>
        <w:separator/>
      </w:r>
    </w:p>
  </w:footnote>
  <w:footnote w:type="continuationSeparator" w:id="0">
    <w:p w14:paraId="0C623450" w14:textId="77777777" w:rsidR="00F31FF4" w:rsidRDefault="00F31FF4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BEC44" w14:textId="77777777" w:rsidR="0016697B" w:rsidRDefault="00166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61AFF6E7" w:rsidR="007C2848" w:rsidRPr="00F960FE" w:rsidRDefault="007C2848" w:rsidP="00373038">
    <w:pPr>
      <w:pStyle w:val="Header"/>
      <w:jc w:val="right"/>
      <w:rPr>
        <w:rFonts w:ascii="Verdana" w:hAnsi="Verdana"/>
        <w:b/>
        <w:color w:val="0070C0"/>
        <w:sz w:val="22"/>
        <w:lang w:val="fr-CA"/>
      </w:rPr>
    </w:pPr>
    <w:r w:rsidRPr="00F960FE">
      <w:rPr>
        <w:rFonts w:ascii="Verdana" w:hAnsi="Verdana"/>
        <w:b/>
        <w:color w:val="0070C0"/>
        <w:sz w:val="22"/>
        <w:lang w:val="fr-CA"/>
      </w:rPr>
      <w:t xml:space="preserve">Formulaire 10 – A – Champ d'application et objectifs de </w:t>
    </w:r>
    <w:r w:rsidRPr="00F960FE">
      <w:rPr>
        <w:rFonts w:ascii="Verdana" w:hAnsi="Verdana"/>
        <w:b/>
        <w:color w:val="0070C0"/>
        <w:sz w:val="22"/>
        <w:lang w:val="fr-CA"/>
      </w:rPr>
      <w:br/>
      <w:t>la politique relative à l'enquête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B3A3" w14:textId="77777777" w:rsidR="0016697B" w:rsidRDefault="00166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5CD"/>
    <w:multiLevelType w:val="hybridMultilevel"/>
    <w:tmpl w:val="E70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2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5F42E4"/>
    <w:multiLevelType w:val="multilevel"/>
    <w:tmpl w:val="0409001D"/>
    <w:numStyleLink w:val="1ai"/>
  </w:abstractNum>
  <w:abstractNum w:abstractNumId="19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87D44"/>
    <w:multiLevelType w:val="multilevel"/>
    <w:tmpl w:val="88409870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abstractNum w:abstractNumId="24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3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1"/>
  </w:num>
  <w:num w:numId="3">
    <w:abstractNumId w:val="36"/>
  </w:num>
  <w:num w:numId="4">
    <w:abstractNumId w:val="13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9"/>
  </w:num>
  <w:num w:numId="10">
    <w:abstractNumId w:val="29"/>
  </w:num>
  <w:num w:numId="11">
    <w:abstractNumId w:val="39"/>
  </w:num>
  <w:num w:numId="12">
    <w:abstractNumId w:val="16"/>
  </w:num>
  <w:num w:numId="13">
    <w:abstractNumId w:val="31"/>
  </w:num>
  <w:num w:numId="14">
    <w:abstractNumId w:val="37"/>
  </w:num>
  <w:num w:numId="15">
    <w:abstractNumId w:val="33"/>
  </w:num>
  <w:num w:numId="16">
    <w:abstractNumId w:val="26"/>
  </w:num>
  <w:num w:numId="17">
    <w:abstractNumId w:val="43"/>
  </w:num>
  <w:num w:numId="18">
    <w:abstractNumId w:val="8"/>
  </w:num>
  <w:num w:numId="19">
    <w:abstractNumId w:val="2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20">
    <w:abstractNumId w:val="9"/>
  </w:num>
  <w:num w:numId="21">
    <w:abstractNumId w:val="38"/>
  </w:num>
  <w:num w:numId="22">
    <w:abstractNumId w:val="10"/>
  </w:num>
  <w:num w:numId="23">
    <w:abstractNumId w:val="35"/>
  </w:num>
  <w:num w:numId="24">
    <w:abstractNumId w:val="38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2"/>
  </w:num>
  <w:num w:numId="27">
    <w:abstractNumId w:val="20"/>
  </w:num>
  <w:num w:numId="28">
    <w:abstractNumId w:val="0"/>
  </w:num>
  <w:num w:numId="29">
    <w:abstractNumId w:val="27"/>
  </w:num>
  <w:num w:numId="30">
    <w:abstractNumId w:val="40"/>
  </w:num>
  <w:num w:numId="31">
    <w:abstractNumId w:val="22"/>
  </w:num>
  <w:num w:numId="32">
    <w:abstractNumId w:val="4"/>
  </w:num>
  <w:num w:numId="33">
    <w:abstractNumId w:val="32"/>
  </w:num>
  <w:num w:numId="34">
    <w:abstractNumId w:val="7"/>
  </w:num>
  <w:num w:numId="35">
    <w:abstractNumId w:val="17"/>
  </w:num>
  <w:num w:numId="36">
    <w:abstractNumId w:val="21"/>
  </w:num>
  <w:num w:numId="37">
    <w:abstractNumId w:val="1"/>
  </w:num>
  <w:num w:numId="38">
    <w:abstractNumId w:val="12"/>
  </w:num>
  <w:num w:numId="39">
    <w:abstractNumId w:val="34"/>
  </w:num>
  <w:num w:numId="40">
    <w:abstractNumId w:val="5"/>
  </w:num>
  <w:num w:numId="41">
    <w:abstractNumId w:val="25"/>
  </w:num>
  <w:num w:numId="42">
    <w:abstractNumId w:val="15"/>
  </w:num>
  <w:num w:numId="43">
    <w:abstractNumId w:val="24"/>
  </w:num>
  <w:num w:numId="44">
    <w:abstractNumId w:val="28"/>
  </w:num>
  <w:num w:numId="45">
    <w:abstractNumId w:val="3"/>
  </w:num>
  <w:num w:numId="46">
    <w:abstractNumId w:val="41"/>
  </w:num>
  <w:num w:numId="47">
    <w:abstractNumId w:val="3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55016"/>
    <w:rsid w:val="00064046"/>
    <w:rsid w:val="000754C6"/>
    <w:rsid w:val="00086D95"/>
    <w:rsid w:val="000B1CF7"/>
    <w:rsid w:val="000B5682"/>
    <w:rsid w:val="000D2F1C"/>
    <w:rsid w:val="000E78C6"/>
    <w:rsid w:val="000F6179"/>
    <w:rsid w:val="000F6901"/>
    <w:rsid w:val="0011187F"/>
    <w:rsid w:val="001150DA"/>
    <w:rsid w:val="00117C11"/>
    <w:rsid w:val="00151D81"/>
    <w:rsid w:val="00160292"/>
    <w:rsid w:val="0016697B"/>
    <w:rsid w:val="001703BC"/>
    <w:rsid w:val="001843AE"/>
    <w:rsid w:val="001C1008"/>
    <w:rsid w:val="001C5482"/>
    <w:rsid w:val="001D1675"/>
    <w:rsid w:val="001F374A"/>
    <w:rsid w:val="00200BD6"/>
    <w:rsid w:val="002014A6"/>
    <w:rsid w:val="002178F8"/>
    <w:rsid w:val="00226F58"/>
    <w:rsid w:val="0024225C"/>
    <w:rsid w:val="0025166B"/>
    <w:rsid w:val="00270D7D"/>
    <w:rsid w:val="00274352"/>
    <w:rsid w:val="002C14DD"/>
    <w:rsid w:val="002C165F"/>
    <w:rsid w:val="002D31D4"/>
    <w:rsid w:val="002E2483"/>
    <w:rsid w:val="0031251A"/>
    <w:rsid w:val="00317B2F"/>
    <w:rsid w:val="00330E6E"/>
    <w:rsid w:val="00346E26"/>
    <w:rsid w:val="0035363E"/>
    <w:rsid w:val="00353B84"/>
    <w:rsid w:val="0037085F"/>
    <w:rsid w:val="00373038"/>
    <w:rsid w:val="0037703F"/>
    <w:rsid w:val="0038125E"/>
    <w:rsid w:val="00387D67"/>
    <w:rsid w:val="003C6A21"/>
    <w:rsid w:val="003D7249"/>
    <w:rsid w:val="003E2962"/>
    <w:rsid w:val="004056F9"/>
    <w:rsid w:val="00426BE8"/>
    <w:rsid w:val="00444ABE"/>
    <w:rsid w:val="0049685C"/>
    <w:rsid w:val="004A355D"/>
    <w:rsid w:val="004C1BA1"/>
    <w:rsid w:val="004E7F6A"/>
    <w:rsid w:val="00520223"/>
    <w:rsid w:val="00530186"/>
    <w:rsid w:val="0055173C"/>
    <w:rsid w:val="00573172"/>
    <w:rsid w:val="00595DE5"/>
    <w:rsid w:val="005A0C3B"/>
    <w:rsid w:val="005B2EBB"/>
    <w:rsid w:val="005B467D"/>
    <w:rsid w:val="005C0B58"/>
    <w:rsid w:val="005D769F"/>
    <w:rsid w:val="00600E33"/>
    <w:rsid w:val="006303C1"/>
    <w:rsid w:val="00633A3C"/>
    <w:rsid w:val="00637BCD"/>
    <w:rsid w:val="00660CE1"/>
    <w:rsid w:val="00664491"/>
    <w:rsid w:val="00667691"/>
    <w:rsid w:val="00671485"/>
    <w:rsid w:val="00674684"/>
    <w:rsid w:val="00692B75"/>
    <w:rsid w:val="00696180"/>
    <w:rsid w:val="006B32C1"/>
    <w:rsid w:val="006B49B4"/>
    <w:rsid w:val="006C2FFA"/>
    <w:rsid w:val="006C7505"/>
    <w:rsid w:val="006F27EB"/>
    <w:rsid w:val="00702BBA"/>
    <w:rsid w:val="00710E77"/>
    <w:rsid w:val="007363BB"/>
    <w:rsid w:val="0074135F"/>
    <w:rsid w:val="0075027E"/>
    <w:rsid w:val="00754487"/>
    <w:rsid w:val="007706FD"/>
    <w:rsid w:val="00775BFF"/>
    <w:rsid w:val="00780144"/>
    <w:rsid w:val="007B0038"/>
    <w:rsid w:val="007C2848"/>
    <w:rsid w:val="007E4E1D"/>
    <w:rsid w:val="007E6AC8"/>
    <w:rsid w:val="00820980"/>
    <w:rsid w:val="008247E9"/>
    <w:rsid w:val="00840C3B"/>
    <w:rsid w:val="008572EE"/>
    <w:rsid w:val="008577C6"/>
    <w:rsid w:val="00875443"/>
    <w:rsid w:val="008841DD"/>
    <w:rsid w:val="00884729"/>
    <w:rsid w:val="008926AA"/>
    <w:rsid w:val="008B4007"/>
    <w:rsid w:val="008C5373"/>
    <w:rsid w:val="008D7D15"/>
    <w:rsid w:val="008E683C"/>
    <w:rsid w:val="008F3D43"/>
    <w:rsid w:val="00954E19"/>
    <w:rsid w:val="00957B7C"/>
    <w:rsid w:val="009761C9"/>
    <w:rsid w:val="009865E1"/>
    <w:rsid w:val="00986CF3"/>
    <w:rsid w:val="009B55F6"/>
    <w:rsid w:val="009D58A1"/>
    <w:rsid w:val="00A168C0"/>
    <w:rsid w:val="00A264E3"/>
    <w:rsid w:val="00A36693"/>
    <w:rsid w:val="00A5217C"/>
    <w:rsid w:val="00A634B3"/>
    <w:rsid w:val="00A954C6"/>
    <w:rsid w:val="00AA3A56"/>
    <w:rsid w:val="00AD0A8A"/>
    <w:rsid w:val="00AD4376"/>
    <w:rsid w:val="00AF0A91"/>
    <w:rsid w:val="00B243AA"/>
    <w:rsid w:val="00B24F93"/>
    <w:rsid w:val="00B36C82"/>
    <w:rsid w:val="00B61227"/>
    <w:rsid w:val="00B67BE9"/>
    <w:rsid w:val="00B7759D"/>
    <w:rsid w:val="00B86B15"/>
    <w:rsid w:val="00BA5414"/>
    <w:rsid w:val="00BC2E3C"/>
    <w:rsid w:val="00BD318C"/>
    <w:rsid w:val="00BE0A9A"/>
    <w:rsid w:val="00C052BE"/>
    <w:rsid w:val="00C1415B"/>
    <w:rsid w:val="00C218CA"/>
    <w:rsid w:val="00C25DEC"/>
    <w:rsid w:val="00C26E3B"/>
    <w:rsid w:val="00C3440B"/>
    <w:rsid w:val="00C40912"/>
    <w:rsid w:val="00C557D6"/>
    <w:rsid w:val="00C57528"/>
    <w:rsid w:val="00C64AD3"/>
    <w:rsid w:val="00CC1D60"/>
    <w:rsid w:val="00CD7DBB"/>
    <w:rsid w:val="00CE61C7"/>
    <w:rsid w:val="00D14AE4"/>
    <w:rsid w:val="00D274CD"/>
    <w:rsid w:val="00D322AF"/>
    <w:rsid w:val="00D4632E"/>
    <w:rsid w:val="00D471BC"/>
    <w:rsid w:val="00D47E39"/>
    <w:rsid w:val="00D64699"/>
    <w:rsid w:val="00D77926"/>
    <w:rsid w:val="00D9277E"/>
    <w:rsid w:val="00DA454E"/>
    <w:rsid w:val="00DE2BC6"/>
    <w:rsid w:val="00DE6E28"/>
    <w:rsid w:val="00E03B2D"/>
    <w:rsid w:val="00E200BE"/>
    <w:rsid w:val="00E22F45"/>
    <w:rsid w:val="00E308FF"/>
    <w:rsid w:val="00E30F93"/>
    <w:rsid w:val="00E3303A"/>
    <w:rsid w:val="00E41CEA"/>
    <w:rsid w:val="00E46E63"/>
    <w:rsid w:val="00E72190"/>
    <w:rsid w:val="00EB0DAE"/>
    <w:rsid w:val="00EC1EA7"/>
    <w:rsid w:val="00EC4BFE"/>
    <w:rsid w:val="00EC6958"/>
    <w:rsid w:val="00ED3DBD"/>
    <w:rsid w:val="00ED63E7"/>
    <w:rsid w:val="00EE0BC3"/>
    <w:rsid w:val="00EE229A"/>
    <w:rsid w:val="00EF7937"/>
    <w:rsid w:val="00F17F42"/>
    <w:rsid w:val="00F23118"/>
    <w:rsid w:val="00F31FF4"/>
    <w:rsid w:val="00F3358A"/>
    <w:rsid w:val="00F46A94"/>
    <w:rsid w:val="00F524FD"/>
    <w:rsid w:val="00F53D16"/>
    <w:rsid w:val="00F66122"/>
    <w:rsid w:val="00F80D15"/>
    <w:rsid w:val="00F8521D"/>
    <w:rsid w:val="00F85D2B"/>
    <w:rsid w:val="00F960FE"/>
    <w:rsid w:val="00FC20FB"/>
    <w:rsid w:val="00FE77F6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2018-02-25T14:49:00Z</dcterms:created>
  <dcterms:modified xsi:type="dcterms:W3CDTF">2018-03-16T17:35:00Z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38164.0001/10786006_.1</vt:lpwstr>
  </property>
  <property fmtid="{D5CDD505-2E9C-101B-9397-08002B2CF9AE}" pid="4" name="WS_TRACKING_ID">
    <vt:lpwstr>0ff1af1d-ae12-486a-9884-20544424f46c</vt:lpwstr>
  </property>
</Properties>
</file>